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88E" w:rsidRPr="006D1604" w:rsidRDefault="00D4488E" w:rsidP="006D1604">
      <w:pPr>
        <w:pStyle w:val="Heading5"/>
        <w:spacing w:before="0" w:after="120"/>
        <w:jc w:val="left"/>
      </w:pPr>
      <w:r w:rsidRPr="006D1604">
        <w:t>Federal Regulations Adopted by Reference</w:t>
      </w:r>
    </w:p>
    <w:p w:rsidR="00D4488E" w:rsidRPr="006D1604" w:rsidRDefault="00D4488E" w:rsidP="006D1604">
      <w:pPr>
        <w:pStyle w:val="Heading5"/>
        <w:spacing w:before="0" w:after="120"/>
        <w:jc w:val="left"/>
        <w:rPr>
          <w:b w:val="0"/>
        </w:rPr>
      </w:pPr>
      <w:r w:rsidRPr="006D1604">
        <w:rPr>
          <w:b w:val="0"/>
        </w:rPr>
        <w:t>In accordance with Rule 62-204.800, F.A.C., the following federal regulation in Title 40 of the Code of Federal Regulations (CFR) was adopted by reference.  The original federal rule numbering has been retained.</w:t>
      </w:r>
    </w:p>
    <w:p w:rsidR="00D4488E" w:rsidRPr="006D1604" w:rsidRDefault="00D4488E" w:rsidP="006D1604">
      <w:pPr>
        <w:pStyle w:val="Heading5"/>
        <w:spacing w:before="0" w:after="120"/>
        <w:ind w:left="360"/>
        <w:jc w:val="left"/>
        <w:rPr>
          <w:b w:val="0"/>
          <w:i/>
        </w:rPr>
      </w:pPr>
      <w:r w:rsidRPr="006D1604">
        <w:rPr>
          <w:b w:val="0"/>
          <w:i/>
        </w:rPr>
        <w:t xml:space="preserve">Federal Revision Date:  </w:t>
      </w:r>
      <w:r w:rsidR="00C03602">
        <w:rPr>
          <w:b w:val="0"/>
          <w:i/>
        </w:rPr>
        <w:t>April 4</w:t>
      </w:r>
      <w:bookmarkStart w:id="0" w:name="_GoBack"/>
      <w:bookmarkEnd w:id="0"/>
      <w:r w:rsidR="009052DB" w:rsidRPr="006D1604">
        <w:rPr>
          <w:b w:val="0"/>
          <w:i/>
        </w:rPr>
        <w:t>, 2014</w:t>
      </w:r>
    </w:p>
    <w:p w:rsidR="00B26481" w:rsidRPr="006D1604" w:rsidRDefault="00B26481" w:rsidP="006D1604">
      <w:pPr>
        <w:spacing w:after="0" w:line="240" w:lineRule="auto"/>
        <w:rPr>
          <w:rFonts w:ascii="Times New Roman" w:eastAsia="Times New Roman" w:hAnsi="Times New Roman" w:cs="Times New Roman"/>
          <w:sz w:val="20"/>
          <w:szCs w:val="20"/>
        </w:rPr>
      </w:pP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 w:name="_top"/>
      <w:bookmarkEnd w:id="1"/>
      <w:r w:rsidRPr="006D1604">
        <w:rPr>
          <w:rFonts w:ascii="Times New Roman" w:eastAsia="Times New Roman" w:hAnsi="Times New Roman" w:cs="Times New Roman"/>
          <w:b/>
          <w:bCs/>
          <w:sz w:val="20"/>
          <w:szCs w:val="20"/>
        </w:rPr>
        <w:t>Subpart A—General Provisions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Contents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   Applicability.</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§60.2   Definitions.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§60.3   Units and abbreviations.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§60.4   Address.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§60.5   Determination of construction or modification.</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§60.6   Review of plans.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§60.7   Notification and record keeping.</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§60.8   Performance tests.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§60.9   Availability of information.</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§60.10   State authority.</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§60.11   Compliance with standards and maintenance requirements.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§60.12   Circumvention.</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§60.13   Monitoring requirements.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§60.14   Modification.</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§60.15   Reconstruction.</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§60.16   Priority list.</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§60.17   Incorporations by reference.</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§60.18   General control device and work practice requirements.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§60.19   General notification and reporting requirements.</w:t>
      </w:r>
    </w:p>
    <w:p w:rsidR="00B26481"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Table 1 to Subpart A of Part 60—Detection Sensitivity Levels (grams per hour) </w:t>
      </w:r>
      <w:r w:rsidR="00C03602">
        <w:rPr>
          <w:rFonts w:ascii="Times New Roman" w:eastAsia="Times New Roman" w:hAnsi="Times New Roman" w:cs="Times New Roman"/>
          <w:sz w:val="20"/>
          <w:szCs w:val="20"/>
        </w:rPr>
        <w:pict>
          <v:rect id="_x0000_i1025" style="width:0;height:1.5pt" o:hrstd="t" o:hr="t" fillcolor="#a0a0a0" stroked="f"/>
        </w:pic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2" w:name="40:7.0.1.1.1.1.151.1"/>
      <w:bookmarkEnd w:id="2"/>
      <w:r w:rsidRPr="006D1604">
        <w:rPr>
          <w:rFonts w:ascii="Times New Roman" w:eastAsia="Times New Roman" w:hAnsi="Times New Roman" w:cs="Times New Roman"/>
          <w:b/>
          <w:bCs/>
          <w:sz w:val="20"/>
          <w:szCs w:val="20"/>
        </w:rPr>
        <w:t>§60.1   Applicability.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(d) </w:t>
      </w:r>
      <w:r w:rsidRPr="006D1604">
        <w:rPr>
          <w:rFonts w:ascii="Times New Roman" w:eastAsia="Times New Roman" w:hAnsi="Times New Roman" w:cs="Times New Roman"/>
          <w:i/>
          <w:iCs/>
          <w:sz w:val="20"/>
          <w:szCs w:val="20"/>
        </w:rPr>
        <w:t>Site-specific standard for Merck &amp; Co., Inc.'s Stonewall Plant in Elkton, Virginia.</w:t>
      </w:r>
      <w:r w:rsidRPr="006D1604">
        <w:rPr>
          <w:rFonts w:ascii="Times New Roman" w:eastAsia="Times New Roman" w:hAnsi="Times New Roman" w:cs="Times New Roman"/>
          <w:sz w:val="20"/>
          <w:szCs w:val="20"/>
        </w:rPr>
        <w:t xml:space="preserve"> (1) This paragraph applies only to the pharmaceutical manufacturing facility, commonly referred to as the Stonewall Plant, located at Route 340 South, in Elkton, Virginia (“site”).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[40 FR 53346, Nov. 17, 1975, as amended at 55 FR 51382, Dec. 13, 1990; 59 FR 12427, Mar. 16, 1994; 62 FR 52641, Oct. 8, 1997]</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3" w:name="40:7.0.1.1.1.1.151.2"/>
      <w:bookmarkEnd w:id="3"/>
      <w:r w:rsidRPr="006D1604">
        <w:rPr>
          <w:rFonts w:ascii="Times New Roman" w:eastAsia="Times New Roman" w:hAnsi="Times New Roman" w:cs="Times New Roman"/>
          <w:b/>
          <w:bCs/>
          <w:sz w:val="20"/>
          <w:szCs w:val="20"/>
        </w:rPr>
        <w:t>§60.2   Definitions.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The terms used in this part are defined in the Act or in this section as follows: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Act</w:t>
      </w:r>
      <w:r w:rsidRPr="006D1604">
        <w:rPr>
          <w:rFonts w:ascii="Times New Roman" w:eastAsia="Times New Roman" w:hAnsi="Times New Roman" w:cs="Times New Roman"/>
          <w:sz w:val="20"/>
          <w:szCs w:val="20"/>
        </w:rPr>
        <w:t xml:space="preserve"> means the Clean Air Act (42 U.S.C. 7401 </w:t>
      </w:r>
      <w:r w:rsidRPr="006D1604">
        <w:rPr>
          <w:rFonts w:ascii="Times New Roman" w:eastAsia="Times New Roman" w:hAnsi="Times New Roman" w:cs="Times New Roman"/>
          <w:i/>
          <w:iCs/>
          <w:sz w:val="20"/>
          <w:szCs w:val="20"/>
        </w:rPr>
        <w:t>et seq.</w:t>
      </w:r>
      <w:r w:rsidRPr="006D1604">
        <w:rPr>
          <w:rFonts w:ascii="Times New Roman" w:eastAsia="Times New Roman" w:hAnsi="Times New Roman" w:cs="Times New Roman"/>
          <w:sz w:val="20"/>
          <w:szCs w:val="20"/>
        </w:rPr>
        <w:t xml:space="preserv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Administrator</w:t>
      </w:r>
      <w:r w:rsidRPr="006D1604">
        <w:rPr>
          <w:rFonts w:ascii="Times New Roman" w:eastAsia="Times New Roman" w:hAnsi="Times New Roman" w:cs="Times New Roman"/>
          <w:sz w:val="20"/>
          <w:szCs w:val="20"/>
        </w:rPr>
        <w:t xml:space="preserve"> means the Administrator of the Environmental Protection Agency or his authorized representative.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Affected facility</w:t>
      </w:r>
      <w:r w:rsidRPr="006D1604">
        <w:rPr>
          <w:rFonts w:ascii="Times New Roman" w:eastAsia="Times New Roman" w:hAnsi="Times New Roman" w:cs="Times New Roman"/>
          <w:sz w:val="20"/>
          <w:szCs w:val="20"/>
        </w:rPr>
        <w:t xml:space="preserve"> means, with reference to a stationary source, any apparatus to which a standard is applicable.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Alternative method</w:t>
      </w:r>
      <w:r w:rsidRPr="006D1604">
        <w:rPr>
          <w:rFonts w:ascii="Times New Roman" w:eastAsia="Times New Roman" w:hAnsi="Times New Roman" w:cs="Times New Roman"/>
          <w:sz w:val="20"/>
          <w:szCs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Approved permit program</w:t>
      </w:r>
      <w:r w:rsidRPr="006D1604">
        <w:rPr>
          <w:rFonts w:ascii="Times New Roman" w:eastAsia="Times New Roman" w:hAnsi="Times New Roman" w:cs="Times New Roman"/>
          <w:sz w:val="20"/>
          <w:szCs w:val="20"/>
        </w:rPr>
        <w:t xml:space="preserve"> means a State permit program approved by the Administrator as meeting the requirements of part 70 of this chapter or a Federal permit program established in this chapter pursuant to Title V of the Act (42 U.S.C. 7661).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Capital expenditure</w:t>
      </w:r>
      <w:r w:rsidRPr="006D1604">
        <w:rPr>
          <w:rFonts w:ascii="Times New Roman" w:eastAsia="Times New Roman" w:hAnsi="Times New Roman" w:cs="Times New Roman"/>
          <w:sz w:val="20"/>
          <w:szCs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Clean coal technology demonstration project</w:t>
      </w:r>
      <w:r w:rsidRPr="006D1604">
        <w:rPr>
          <w:rFonts w:ascii="Times New Roman" w:eastAsia="Times New Roman" w:hAnsi="Times New Roman" w:cs="Times New Roman"/>
          <w:sz w:val="20"/>
          <w:szCs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Commenced</w:t>
      </w:r>
      <w:r w:rsidRPr="006D1604">
        <w:rPr>
          <w:rFonts w:ascii="Times New Roman" w:eastAsia="Times New Roman" w:hAnsi="Times New Roman" w:cs="Times New Roman"/>
          <w:sz w:val="20"/>
          <w:szCs w:val="20"/>
        </w:rPr>
        <w:t xml:space="preserve"> means, with respect to the definition of </w:t>
      </w:r>
      <w:r w:rsidRPr="006D1604">
        <w:rPr>
          <w:rFonts w:ascii="Times New Roman" w:eastAsia="Times New Roman" w:hAnsi="Times New Roman" w:cs="Times New Roman"/>
          <w:i/>
          <w:iCs/>
          <w:sz w:val="20"/>
          <w:szCs w:val="20"/>
        </w:rPr>
        <w:t>new source</w:t>
      </w:r>
      <w:r w:rsidRPr="006D1604">
        <w:rPr>
          <w:rFonts w:ascii="Times New Roman" w:eastAsia="Times New Roman" w:hAnsi="Times New Roman" w:cs="Times New Roman"/>
          <w:sz w:val="20"/>
          <w:szCs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Construction</w:t>
      </w:r>
      <w:r w:rsidRPr="006D1604">
        <w:rPr>
          <w:rFonts w:ascii="Times New Roman" w:eastAsia="Times New Roman" w:hAnsi="Times New Roman" w:cs="Times New Roman"/>
          <w:sz w:val="20"/>
          <w:szCs w:val="20"/>
        </w:rPr>
        <w:t xml:space="preserve"> means fabrication, erection, or installation of an affected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lastRenderedPageBreak/>
        <w:t>Continuous monitoring system</w:t>
      </w:r>
      <w:r w:rsidRPr="006D1604">
        <w:rPr>
          <w:rFonts w:ascii="Times New Roman" w:eastAsia="Times New Roman" w:hAnsi="Times New Roman" w:cs="Times New Roman"/>
          <w:sz w:val="20"/>
          <w:szCs w:val="20"/>
        </w:rPr>
        <w:t xml:space="preserve"> means the total equipment, required under the emission monitoring sections in applicable subparts, used to sample and condition (if applicable), to analyze, and to provide a permanent record of emissions or process parameters.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Electric utility steam generating unit</w:t>
      </w:r>
      <w:r w:rsidRPr="006D1604">
        <w:rPr>
          <w:rFonts w:ascii="Times New Roman" w:eastAsia="Times New Roman" w:hAnsi="Times New Roman" w:cs="Times New Roman"/>
          <w:sz w:val="20"/>
          <w:szCs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Equivalent method</w:t>
      </w:r>
      <w:r w:rsidRPr="006D1604">
        <w:rPr>
          <w:rFonts w:ascii="Times New Roman" w:eastAsia="Times New Roman" w:hAnsi="Times New Roman" w:cs="Times New Roman"/>
          <w:sz w:val="20"/>
          <w:szCs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Excess Emissions and Monitoring Systems Performance Report</w:t>
      </w:r>
      <w:r w:rsidRPr="006D1604">
        <w:rPr>
          <w:rFonts w:ascii="Times New Roman" w:eastAsia="Times New Roman" w:hAnsi="Times New Roman" w:cs="Times New Roman"/>
          <w:sz w:val="20"/>
          <w:szCs w:val="20"/>
        </w:rPr>
        <w:t xml:space="preserve"> is a report that must be submitted periodically by a source in order to provide data on its compliance with stated emission limits and operating parameters, and on the performance of its monitoring systems.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Existing facility</w:t>
      </w:r>
      <w:r w:rsidRPr="006D1604">
        <w:rPr>
          <w:rFonts w:ascii="Times New Roman" w:eastAsia="Times New Roman" w:hAnsi="Times New Roman" w:cs="Times New Roman"/>
          <w:sz w:val="20"/>
          <w:szCs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Force majeure</w:t>
      </w:r>
      <w:r w:rsidRPr="006D1604">
        <w:rPr>
          <w:rFonts w:ascii="Times New Roman" w:eastAsia="Times New Roman" w:hAnsi="Times New Roman" w:cs="Times New Roman"/>
          <w:sz w:val="20"/>
          <w:szCs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Isokinetic sampling</w:t>
      </w:r>
      <w:r w:rsidRPr="006D1604">
        <w:rPr>
          <w:rFonts w:ascii="Times New Roman" w:eastAsia="Times New Roman" w:hAnsi="Times New Roman" w:cs="Times New Roman"/>
          <w:sz w:val="20"/>
          <w:szCs w:val="20"/>
        </w:rPr>
        <w:t xml:space="preserve"> means sampling in which the linear velocity of the gas entering the sampling nozzle is equal to that of the undisturbed gas stream at the sample point.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Issuance</w:t>
      </w:r>
      <w:r w:rsidRPr="006D1604">
        <w:rPr>
          <w:rFonts w:ascii="Times New Roman" w:eastAsia="Times New Roman" w:hAnsi="Times New Roman" w:cs="Times New Roman"/>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Malfunction</w:t>
      </w:r>
      <w:r w:rsidRPr="006D1604">
        <w:rPr>
          <w:rFonts w:ascii="Times New Roman" w:eastAsia="Times New Roman" w:hAnsi="Times New Roman" w:cs="Times New Roman"/>
          <w:sz w:val="20"/>
          <w:szCs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Modification</w:t>
      </w:r>
      <w:r w:rsidRPr="006D1604">
        <w:rPr>
          <w:rFonts w:ascii="Times New Roman" w:eastAsia="Times New Roman" w:hAnsi="Times New Roman" w:cs="Times New Roman"/>
          <w:sz w:val="20"/>
          <w:szCs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Monitoring device</w:t>
      </w:r>
      <w:r w:rsidRPr="006D1604">
        <w:rPr>
          <w:rFonts w:ascii="Times New Roman" w:eastAsia="Times New Roman" w:hAnsi="Times New Roman" w:cs="Times New Roman"/>
          <w:sz w:val="20"/>
          <w:szCs w:val="20"/>
        </w:rPr>
        <w:t xml:space="preserve"> means the total equipment, required under the monitoring of operations sections in applicable subparts, used to measure and record (if applicable) process parameters.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Nitrogen oxides</w:t>
      </w:r>
      <w:r w:rsidRPr="006D1604">
        <w:rPr>
          <w:rFonts w:ascii="Times New Roman" w:eastAsia="Times New Roman" w:hAnsi="Times New Roman" w:cs="Times New Roman"/>
          <w:sz w:val="20"/>
          <w:szCs w:val="20"/>
        </w:rPr>
        <w:t xml:space="preserve"> means all oxides of nitrogen except nitrous oxide, as measured by test methods set forth in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One-hour period</w:t>
      </w:r>
      <w:r w:rsidRPr="006D1604">
        <w:rPr>
          <w:rFonts w:ascii="Times New Roman" w:eastAsia="Times New Roman" w:hAnsi="Times New Roman" w:cs="Times New Roman"/>
          <w:sz w:val="20"/>
          <w:szCs w:val="20"/>
        </w:rPr>
        <w:t xml:space="preserve"> means any 60-minute period commencing on the hour.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lastRenderedPageBreak/>
        <w:t>Opacity</w:t>
      </w:r>
      <w:r w:rsidRPr="006D1604">
        <w:rPr>
          <w:rFonts w:ascii="Times New Roman" w:eastAsia="Times New Roman" w:hAnsi="Times New Roman" w:cs="Times New Roman"/>
          <w:sz w:val="20"/>
          <w:szCs w:val="20"/>
        </w:rPr>
        <w:t xml:space="preserve"> means the degree to which emissions reduce the transmission of light and obscure the view of an object in the background.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Owner or operator</w:t>
      </w:r>
      <w:r w:rsidRPr="006D1604">
        <w:rPr>
          <w:rFonts w:ascii="Times New Roman" w:eastAsia="Times New Roman" w:hAnsi="Times New Roman" w:cs="Times New Roman"/>
          <w:sz w:val="20"/>
          <w:szCs w:val="20"/>
        </w:rPr>
        <w:t xml:space="preserve"> means any person who owns, leases, operates, controls, or supervises an affected facility or a stationary source of which an affected facility is a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Part 70 permit</w:t>
      </w:r>
      <w:r w:rsidRPr="006D1604">
        <w:rPr>
          <w:rFonts w:ascii="Times New Roman" w:eastAsia="Times New Roman" w:hAnsi="Times New Roman" w:cs="Times New Roman"/>
          <w:sz w:val="20"/>
          <w:szCs w:val="20"/>
        </w:rPr>
        <w:t xml:space="preserve"> means any permit issued, renewed, or revised pursuant to part 70 of this chapter.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Particulate matter</w:t>
      </w:r>
      <w:r w:rsidRPr="006D1604">
        <w:rPr>
          <w:rFonts w:ascii="Times New Roman" w:eastAsia="Times New Roman" w:hAnsi="Times New Roman" w:cs="Times New Roman"/>
          <w:sz w:val="20"/>
          <w:szCs w:val="20"/>
        </w:rPr>
        <w:t xml:space="preserve"> means any finely divided solid or liquid material, other than uncombined water, as measured by the reference methods specified under each applicable subpart, or an equivalent or alternative method.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Permit program</w:t>
      </w:r>
      <w:r w:rsidRPr="006D1604">
        <w:rPr>
          <w:rFonts w:ascii="Times New Roman" w:eastAsia="Times New Roman" w:hAnsi="Times New Roman" w:cs="Times New Roman"/>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Permitting authority</w:t>
      </w:r>
      <w:r w:rsidRPr="006D1604">
        <w:rPr>
          <w:rFonts w:ascii="Times New Roman" w:eastAsia="Times New Roman" w:hAnsi="Times New Roman" w:cs="Times New Roman"/>
          <w:sz w:val="20"/>
          <w:szCs w:val="20"/>
        </w:rPr>
        <w:t xml:space="preserve"> means: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The State air pollution control agency, local agency, other State agency, or other agency authorized by the Administrator to carry out a permit program under part 70 of this chapter; or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The Administrator, in the case of EPA-implemented permit programs under title V of the Act (42 U.S.C. 7661).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Proportional sampling</w:t>
      </w:r>
      <w:r w:rsidRPr="006D1604">
        <w:rPr>
          <w:rFonts w:ascii="Times New Roman" w:eastAsia="Times New Roman" w:hAnsi="Times New Roman" w:cs="Times New Roman"/>
          <w:sz w:val="20"/>
          <w:szCs w:val="20"/>
        </w:rPr>
        <w:t xml:space="preserve"> means sampling at a rate that produces a constant ratio of sampling rate to stack gas flow rate.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Reactivation of a very clean coal-fired electric utility steam generating unit</w:t>
      </w:r>
      <w:r w:rsidRPr="006D1604">
        <w:rPr>
          <w:rFonts w:ascii="Times New Roman" w:eastAsia="Times New Roman" w:hAnsi="Times New Roman" w:cs="Times New Roman"/>
          <w:sz w:val="20"/>
          <w:szCs w:val="20"/>
        </w:rPr>
        <w:t xml:space="preserve"> means any physical change or change in the method of operation associated with the commencement of commercial operations by a coal-fired utility unit after a period of discontinued operation where the unit: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Is equipped with low-NO</w:t>
      </w:r>
      <w:r w:rsidRPr="006D1604">
        <w:rPr>
          <w:rFonts w:ascii="Times New Roman" w:eastAsia="Times New Roman" w:hAnsi="Times New Roman" w:cs="Times New Roman"/>
          <w:sz w:val="20"/>
          <w:szCs w:val="20"/>
          <w:vertAlign w:val="subscript"/>
        </w:rPr>
        <w:t>X</w:t>
      </w:r>
      <w:r w:rsidRPr="006D1604">
        <w:rPr>
          <w:rFonts w:ascii="Times New Roman" w:eastAsia="Times New Roman" w:hAnsi="Times New Roman" w:cs="Times New Roman"/>
          <w:sz w:val="20"/>
          <w:szCs w:val="20"/>
        </w:rPr>
        <w:t xml:space="preserve"> burners prior to the time of commencement of operations following reactivation; and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Is otherwise in compliance with the requirements of the Clean Air Act.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Reference method</w:t>
      </w:r>
      <w:r w:rsidRPr="006D1604">
        <w:rPr>
          <w:rFonts w:ascii="Times New Roman" w:eastAsia="Times New Roman" w:hAnsi="Times New Roman" w:cs="Times New Roman"/>
          <w:sz w:val="20"/>
          <w:szCs w:val="20"/>
        </w:rPr>
        <w:t xml:space="preserve"> means any method of sampling and analyzing for an air pollutant as specified in the applicable subpart.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Repowering</w:t>
      </w:r>
      <w:r w:rsidRPr="006D1604">
        <w:rPr>
          <w:rFonts w:ascii="Times New Roman" w:eastAsia="Times New Roman" w:hAnsi="Times New Roman" w:cs="Times New Roman"/>
          <w:sz w:val="20"/>
          <w:szCs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w:t>
      </w:r>
      <w:r w:rsidRPr="006D1604">
        <w:rPr>
          <w:rFonts w:ascii="Times New Roman" w:eastAsia="Times New Roman" w:hAnsi="Times New Roman" w:cs="Times New Roman"/>
          <w:sz w:val="20"/>
          <w:szCs w:val="20"/>
        </w:rPr>
        <w:lastRenderedPageBreak/>
        <w:t xml:space="preserve">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Run</w:t>
      </w:r>
      <w:r w:rsidRPr="006D1604">
        <w:rPr>
          <w:rFonts w:ascii="Times New Roman" w:eastAsia="Times New Roman" w:hAnsi="Times New Roman" w:cs="Times New Roman"/>
          <w:sz w:val="20"/>
          <w:szCs w:val="20"/>
        </w:rPr>
        <w:t xml:space="preserve"> means the net period of time during which an emission sample is collected. Unless otherwise specified, a run may be either intermittent or continuous within the limits of good engineering practice.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Shutdown</w:t>
      </w:r>
      <w:r w:rsidRPr="006D1604">
        <w:rPr>
          <w:rFonts w:ascii="Times New Roman" w:eastAsia="Times New Roman" w:hAnsi="Times New Roman" w:cs="Times New Roman"/>
          <w:sz w:val="20"/>
          <w:szCs w:val="20"/>
        </w:rPr>
        <w:t xml:space="preserve"> means the cessation of operation of an affected facility for any purpose.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Six-minute period</w:t>
      </w:r>
      <w:r w:rsidRPr="006D1604">
        <w:rPr>
          <w:rFonts w:ascii="Times New Roman" w:eastAsia="Times New Roman" w:hAnsi="Times New Roman" w:cs="Times New Roman"/>
          <w:sz w:val="20"/>
          <w:szCs w:val="20"/>
        </w:rPr>
        <w:t xml:space="preserve"> means any one of the 10 equal parts of a one-hour period.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Standard</w:t>
      </w:r>
      <w:r w:rsidRPr="006D1604">
        <w:rPr>
          <w:rFonts w:ascii="Times New Roman" w:eastAsia="Times New Roman" w:hAnsi="Times New Roman" w:cs="Times New Roman"/>
          <w:sz w:val="20"/>
          <w:szCs w:val="20"/>
        </w:rPr>
        <w:t xml:space="preserve"> means a standard of performance proposed or promulgated under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Standard conditions</w:t>
      </w:r>
      <w:r w:rsidRPr="006D1604">
        <w:rPr>
          <w:rFonts w:ascii="Times New Roman" w:eastAsia="Times New Roman" w:hAnsi="Times New Roman" w:cs="Times New Roman"/>
          <w:sz w:val="20"/>
          <w:szCs w:val="20"/>
        </w:rPr>
        <w:t xml:space="preserve"> means a temperature of 293 K (68F) and a pressure of 101.3 kilopascals (29.92 in Hg).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Startup</w:t>
      </w:r>
      <w:r w:rsidRPr="006D1604">
        <w:rPr>
          <w:rFonts w:ascii="Times New Roman" w:eastAsia="Times New Roman" w:hAnsi="Times New Roman" w:cs="Times New Roman"/>
          <w:sz w:val="20"/>
          <w:szCs w:val="20"/>
        </w:rPr>
        <w:t xml:space="preserve"> means the setting in operation of an affected facility for any purpose.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State</w:t>
      </w:r>
      <w:r w:rsidRPr="006D1604">
        <w:rPr>
          <w:rFonts w:ascii="Times New Roman" w:eastAsia="Times New Roman" w:hAnsi="Times New Roman" w:cs="Times New Roman"/>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Stationary source</w:t>
      </w:r>
      <w:r w:rsidRPr="006D1604">
        <w:rPr>
          <w:rFonts w:ascii="Times New Roman" w:eastAsia="Times New Roman" w:hAnsi="Times New Roman" w:cs="Times New Roman"/>
          <w:sz w:val="20"/>
          <w:szCs w:val="20"/>
        </w:rPr>
        <w:t xml:space="preserve"> means any building, structure, facility, or installation which emits or may emit any air pollutant.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Title V permit</w:t>
      </w:r>
      <w:r w:rsidRPr="006D1604">
        <w:rPr>
          <w:rFonts w:ascii="Times New Roman" w:eastAsia="Times New Roman" w:hAnsi="Times New Roman" w:cs="Times New Roman"/>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Volatile Organic Compound</w:t>
      </w:r>
      <w:r w:rsidRPr="006D1604">
        <w:rPr>
          <w:rFonts w:ascii="Times New Roman" w:eastAsia="Times New Roman" w:hAnsi="Times New Roman" w:cs="Times New Roman"/>
          <w:sz w:val="20"/>
          <w:szCs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[44 FR 55173, Sept. 25, 1979, as amended at 45 FR 5617, Jan. 23, 1980; 45 FR 85415, Dec. 24, 1980; 54 FR 6662, Feb. 14, 1989; 55 FR 51382, Dec. 13, 1990; 57 FR 32338, July 21, 1992; 59 FR 12427, Mar. 16, 1994; 72 FR 27442, May 16, 2007]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4" w:name="40:7.0.1.1.1.1.151.3"/>
      <w:bookmarkEnd w:id="4"/>
      <w:r w:rsidRPr="006D1604">
        <w:rPr>
          <w:rFonts w:ascii="Times New Roman" w:eastAsia="Times New Roman" w:hAnsi="Times New Roman" w:cs="Times New Roman"/>
          <w:b/>
          <w:bCs/>
          <w:sz w:val="20"/>
          <w:szCs w:val="20"/>
        </w:rPr>
        <w:t>§60.3   Units and abbreviations.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Used in this part are abbreviations and symbols of units of measure. These are defined as follows: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System International (SI) units of measure: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A—ampere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g—gram</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Hz—hertz</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J—joule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K—degree Kelvin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kg—kilogram</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m—meter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w:t>
      </w:r>
      <w:r w:rsidRPr="006D1604">
        <w:rPr>
          <w:rFonts w:ascii="Times New Roman" w:eastAsia="Times New Roman" w:hAnsi="Times New Roman" w:cs="Times New Roman"/>
          <w:sz w:val="20"/>
          <w:szCs w:val="20"/>
          <w:vertAlign w:val="superscript"/>
        </w:rPr>
        <w:t>3</w:t>
      </w:r>
      <w:r w:rsidRPr="006D1604">
        <w:rPr>
          <w:rFonts w:ascii="Times New Roman" w:eastAsia="Times New Roman" w:hAnsi="Times New Roman" w:cs="Times New Roman"/>
          <w:sz w:val="20"/>
          <w:szCs w:val="20"/>
        </w:rPr>
        <w:t>—cubic meter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mg—milligram—10</w:t>
      </w:r>
      <w:r w:rsidRPr="006D1604">
        <w:rPr>
          <w:rFonts w:ascii="Times New Roman" w:eastAsia="Times New Roman" w:hAnsi="Times New Roman" w:cs="Times New Roman"/>
          <w:sz w:val="20"/>
          <w:szCs w:val="20"/>
          <w:vertAlign w:val="superscript"/>
        </w:rPr>
        <w:t>−3</w:t>
      </w:r>
      <w:r w:rsidRPr="006D1604">
        <w:rPr>
          <w:rFonts w:ascii="Times New Roman" w:eastAsia="Times New Roman" w:hAnsi="Times New Roman" w:cs="Times New Roman"/>
          <w:sz w:val="20"/>
          <w:szCs w:val="20"/>
        </w:rPr>
        <w:t xml:space="preserve"> gram</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mm—millimeter—10</w:t>
      </w:r>
      <w:r w:rsidRPr="006D1604">
        <w:rPr>
          <w:rFonts w:ascii="Times New Roman" w:eastAsia="Times New Roman" w:hAnsi="Times New Roman" w:cs="Times New Roman"/>
          <w:sz w:val="20"/>
          <w:szCs w:val="20"/>
          <w:vertAlign w:val="superscript"/>
        </w:rPr>
        <w:t>−3</w:t>
      </w:r>
      <w:r w:rsidRPr="006D1604">
        <w:rPr>
          <w:rFonts w:ascii="Times New Roman" w:eastAsia="Times New Roman" w:hAnsi="Times New Roman" w:cs="Times New Roman"/>
          <w:sz w:val="20"/>
          <w:szCs w:val="20"/>
        </w:rPr>
        <w:t xml:space="preserve"> meter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Mg—megagram—10</w:t>
      </w:r>
      <w:r w:rsidRPr="006D1604">
        <w:rPr>
          <w:rFonts w:ascii="Times New Roman" w:eastAsia="Times New Roman" w:hAnsi="Times New Roman" w:cs="Times New Roman"/>
          <w:sz w:val="20"/>
          <w:szCs w:val="20"/>
          <w:vertAlign w:val="superscript"/>
        </w:rPr>
        <w:t>6</w:t>
      </w:r>
      <w:r w:rsidRPr="006D1604">
        <w:rPr>
          <w:rFonts w:ascii="Times New Roman" w:eastAsia="Times New Roman" w:hAnsi="Times New Roman" w:cs="Times New Roman"/>
          <w:sz w:val="20"/>
          <w:szCs w:val="20"/>
        </w:rPr>
        <w:t xml:space="preserve"> gram</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mol—mole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N—newton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ng—nanogram—10</w:t>
      </w:r>
      <w:r w:rsidRPr="006D1604">
        <w:rPr>
          <w:rFonts w:ascii="Times New Roman" w:eastAsia="Times New Roman" w:hAnsi="Times New Roman" w:cs="Times New Roman"/>
          <w:sz w:val="20"/>
          <w:szCs w:val="20"/>
          <w:vertAlign w:val="superscript"/>
        </w:rPr>
        <w:t>−9</w:t>
      </w:r>
      <w:r w:rsidRPr="006D1604">
        <w:rPr>
          <w:rFonts w:ascii="Times New Roman" w:eastAsia="Times New Roman" w:hAnsi="Times New Roman" w:cs="Times New Roman"/>
          <w:sz w:val="20"/>
          <w:szCs w:val="20"/>
        </w:rPr>
        <w:t xml:space="preserve"> gram</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nm—nanometer—10</w:t>
      </w:r>
      <w:r w:rsidRPr="006D1604">
        <w:rPr>
          <w:rFonts w:ascii="Times New Roman" w:eastAsia="Times New Roman" w:hAnsi="Times New Roman" w:cs="Times New Roman"/>
          <w:sz w:val="20"/>
          <w:szCs w:val="20"/>
          <w:vertAlign w:val="superscript"/>
        </w:rPr>
        <w:t>−9</w:t>
      </w:r>
      <w:r w:rsidRPr="006D1604">
        <w:rPr>
          <w:rFonts w:ascii="Times New Roman" w:eastAsia="Times New Roman" w:hAnsi="Times New Roman" w:cs="Times New Roman"/>
          <w:sz w:val="20"/>
          <w:szCs w:val="20"/>
        </w:rPr>
        <w:t xml:space="preserve"> meter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Pa—pascal</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s—second</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V—volt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W—watt </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Ω—ohm </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µg—microgram—10</w:t>
      </w:r>
      <w:r w:rsidRPr="006D1604">
        <w:rPr>
          <w:rFonts w:ascii="Times New Roman" w:eastAsia="Times New Roman" w:hAnsi="Times New Roman" w:cs="Times New Roman"/>
          <w:sz w:val="20"/>
          <w:szCs w:val="20"/>
          <w:vertAlign w:val="superscript"/>
        </w:rPr>
        <w:t>−6</w:t>
      </w:r>
      <w:r w:rsidRPr="006D1604">
        <w:rPr>
          <w:rFonts w:ascii="Times New Roman" w:eastAsia="Times New Roman" w:hAnsi="Times New Roman" w:cs="Times New Roman"/>
          <w:sz w:val="20"/>
          <w:szCs w:val="20"/>
        </w:rPr>
        <w:t xml:space="preserve"> gram</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Other units of measure: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Btu—British thermal unit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°C—degree Celsius (centigrade) </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cal—calorie </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cfm—cubic feet per minute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cu ft—cubic feet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dcf—dry cubic feet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dcm—dry cubic meter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dscf—dry cubic feet at standard conditions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dscm—dry cubic meter at standard conditions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eq—equivalent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°F—degree Fahrenheit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ft—feet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gal—gallon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gr—grain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g-eq—gram equivalent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hr—hour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in—inch</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k—1,000</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l—liter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lpm—liter per minute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lb—pound</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meq—milliequivalent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min—minute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ml—milliliter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mol. wt.—molecular weight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ppb—parts per billion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ppm—parts per million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psia—pounds per square inch absolute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psig—pounds per square inch gage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°R—degree Rankine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scf—cubic feet at standard conditions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scfh—cubic feet per hour at standard conditions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scm—cubic meter at standard conditions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sec—second</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sq ft—square feet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std—at standard conditions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 Chemical nomenclature: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CdS—cadmium sulfide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CO—carbon monoxide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CO</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—carbon dioxide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HCl—hydrochloric acid</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Hg—mercury</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O—water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H</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S—hydrogen sulfide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SO</w:t>
      </w:r>
      <w:r w:rsidRPr="006D1604">
        <w:rPr>
          <w:rFonts w:ascii="Times New Roman" w:eastAsia="Times New Roman" w:hAnsi="Times New Roman" w:cs="Times New Roman"/>
          <w:sz w:val="20"/>
          <w:szCs w:val="20"/>
          <w:vertAlign w:val="subscript"/>
        </w:rPr>
        <w:t>4</w:t>
      </w:r>
      <w:r w:rsidRPr="006D1604">
        <w:rPr>
          <w:rFonts w:ascii="Times New Roman" w:eastAsia="Times New Roman" w:hAnsi="Times New Roman" w:cs="Times New Roman"/>
          <w:sz w:val="20"/>
          <w:szCs w:val="20"/>
        </w:rPr>
        <w:t>—sulfuric acid</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—nitrogen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NO—nitric oxide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NO</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—nitrogen dioxide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NO</w:t>
      </w:r>
      <w:r w:rsidRPr="006D1604">
        <w:rPr>
          <w:rFonts w:ascii="Times New Roman" w:eastAsia="Times New Roman" w:hAnsi="Times New Roman" w:cs="Times New Roman"/>
          <w:sz w:val="20"/>
          <w:szCs w:val="20"/>
          <w:vertAlign w:val="subscript"/>
        </w:rPr>
        <w:t>X</w:t>
      </w:r>
      <w:r w:rsidRPr="006D1604">
        <w:rPr>
          <w:rFonts w:ascii="Times New Roman" w:eastAsia="Times New Roman" w:hAnsi="Times New Roman" w:cs="Times New Roman"/>
          <w:sz w:val="20"/>
          <w:szCs w:val="20"/>
        </w:rPr>
        <w:t>—nitrogen oxides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O</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—oxygen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SO</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—sulfur dioxide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SO</w:t>
      </w:r>
      <w:r w:rsidRPr="006D1604">
        <w:rPr>
          <w:rFonts w:ascii="Times New Roman" w:eastAsia="Times New Roman" w:hAnsi="Times New Roman" w:cs="Times New Roman"/>
          <w:sz w:val="20"/>
          <w:szCs w:val="20"/>
          <w:vertAlign w:val="subscript"/>
        </w:rPr>
        <w:t>3</w:t>
      </w:r>
      <w:r w:rsidRPr="006D1604">
        <w:rPr>
          <w:rFonts w:ascii="Times New Roman" w:eastAsia="Times New Roman" w:hAnsi="Times New Roman" w:cs="Times New Roman"/>
          <w:sz w:val="20"/>
          <w:szCs w:val="20"/>
        </w:rPr>
        <w:t>—sulfur trioxide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SO</w:t>
      </w:r>
      <w:r w:rsidRPr="006D1604">
        <w:rPr>
          <w:rFonts w:ascii="Times New Roman" w:eastAsia="Times New Roman" w:hAnsi="Times New Roman" w:cs="Times New Roman"/>
          <w:sz w:val="20"/>
          <w:szCs w:val="20"/>
          <w:vertAlign w:val="subscript"/>
        </w:rPr>
        <w:t>X</w:t>
      </w:r>
      <w:r w:rsidRPr="006D1604">
        <w:rPr>
          <w:rFonts w:ascii="Times New Roman" w:eastAsia="Times New Roman" w:hAnsi="Times New Roman" w:cs="Times New Roman"/>
          <w:sz w:val="20"/>
          <w:szCs w:val="20"/>
        </w:rPr>
        <w:t>—sulfur oxides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 Miscellaneous: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A.S.T.M.—American Society for Testing and Materials</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[42 FR 37000, July 19, 1977; 42 FR 38178, July 27, 1977]</w:t>
      </w:r>
    </w:p>
    <w:p w:rsidR="00B26481" w:rsidRDefault="00B26481" w:rsidP="006D1604">
      <w:pPr>
        <w:spacing w:before="200" w:after="100" w:line="240" w:lineRule="auto"/>
        <w:outlineLvl w:val="1"/>
        <w:rPr>
          <w:rFonts w:ascii="Times New Roman" w:eastAsia="Times New Roman" w:hAnsi="Times New Roman" w:cs="Times New Roman"/>
          <w:b/>
          <w:bCs/>
          <w:sz w:val="20"/>
          <w:szCs w:val="20"/>
        </w:rPr>
      </w:pPr>
      <w:bookmarkStart w:id="5" w:name="40:7.0.1.1.1.1.151.4"/>
      <w:bookmarkEnd w:id="5"/>
      <w:r w:rsidRPr="006D1604">
        <w:rPr>
          <w:rFonts w:ascii="Times New Roman" w:eastAsia="Times New Roman" w:hAnsi="Times New Roman" w:cs="Times New Roman"/>
          <w:b/>
          <w:bCs/>
          <w:sz w:val="20"/>
          <w:szCs w:val="20"/>
        </w:rPr>
        <w:t>§60.4   Address.</w:t>
      </w:r>
    </w:p>
    <w:p w:rsidR="00DA14DF" w:rsidRPr="00DA14DF" w:rsidRDefault="00DA14DF" w:rsidP="006D1604">
      <w:pPr>
        <w:spacing w:before="200" w:after="100" w:line="240" w:lineRule="auto"/>
        <w:outlineLvl w:val="1"/>
        <w:rPr>
          <w:rFonts w:ascii="Times New Roman" w:eastAsia="Times New Roman" w:hAnsi="Times New Roman" w:cs="Times New Roman"/>
          <w:b/>
          <w:bCs/>
          <w:sz w:val="20"/>
          <w:szCs w:val="20"/>
        </w:rPr>
      </w:pPr>
      <w:r w:rsidRPr="00DA14DF">
        <w:rPr>
          <w:rFonts w:ascii="Times New Roman" w:hAnsi="Times New Roman" w:cs="Times New Roman"/>
          <w:b/>
          <w:sz w:val="20"/>
          <w:szCs w:val="20"/>
        </w:rPr>
        <w:t>All addresses that pertain to Florida have been incorporated.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B26481" w:rsidRPr="006D1604" w:rsidRDefault="00DA14DF"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 </w:t>
      </w:r>
      <w:r w:rsidR="00B26481" w:rsidRPr="006D1604">
        <w:rPr>
          <w:rFonts w:ascii="Times New Roman" w:eastAsia="Times New Roman" w:hAnsi="Times New Roman" w:cs="Times New Roman"/>
          <w:sz w:val="20"/>
          <w:szCs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B26481" w:rsidRPr="006D1604" w:rsidRDefault="00DA14DF" w:rsidP="00DA14DF">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 </w:t>
      </w:r>
      <w:r w:rsidR="00B26481" w:rsidRPr="006D1604">
        <w:rPr>
          <w:rFonts w:ascii="Times New Roman" w:eastAsia="Times New Roman" w:hAnsi="Times New Roman" w:cs="Times New Roman"/>
          <w:sz w:val="20"/>
          <w:szCs w:val="20"/>
        </w:rPr>
        <w:t xml:space="preserve">(K) State of Florida: Florida Department of Environmental Protection, Division of Air Resources </w:t>
      </w:r>
    </w:p>
    <w:p w:rsidR="00B26481" w:rsidRPr="006D1604" w:rsidRDefault="00DA14DF"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 </w:t>
      </w:r>
      <w:r w:rsidR="00B26481" w:rsidRPr="006D1604">
        <w:rPr>
          <w:rFonts w:ascii="Times New Roman" w:eastAsia="Times New Roman" w:hAnsi="Times New Roman" w:cs="Times New Roman"/>
          <w:sz w:val="20"/>
          <w:szCs w:val="20"/>
        </w:rPr>
        <w:t xml:space="preserve">[40 FR 18169, Apr. 25, 1975] </w:t>
      </w:r>
    </w:p>
    <w:p w:rsidR="00B26481" w:rsidRPr="006D1604" w:rsidRDefault="00B26481" w:rsidP="006D1604">
      <w:pPr>
        <w:spacing w:before="200"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mallCaps/>
          <w:sz w:val="20"/>
          <w:szCs w:val="20"/>
        </w:rPr>
        <w:t>Editorial Note:</w:t>
      </w:r>
      <w:r w:rsidRPr="006D1604">
        <w:rPr>
          <w:rFonts w:ascii="Times New Roman" w:eastAsia="Times New Roman" w:hAnsi="Times New Roman" w:cs="Times New Roman"/>
          <w:sz w:val="20"/>
          <w:szCs w:val="20"/>
        </w:rPr>
        <w:t xml:space="preserve"> For </w:t>
      </w:r>
      <w:r w:rsidRPr="006D1604">
        <w:rPr>
          <w:rFonts w:ascii="Times New Roman" w:eastAsia="Times New Roman" w:hAnsi="Times New Roman" w:cs="Times New Roman"/>
          <w:smallCaps/>
          <w:sz w:val="20"/>
          <w:szCs w:val="20"/>
        </w:rPr>
        <w:t>Federal Register</w:t>
      </w:r>
      <w:r w:rsidRPr="006D1604">
        <w:rPr>
          <w:rFonts w:ascii="Times New Roman" w:eastAsia="Times New Roman" w:hAnsi="Times New Roman" w:cs="Times New Roman"/>
          <w:sz w:val="20"/>
          <w:szCs w:val="20"/>
        </w:rPr>
        <w:t xml:space="preserve"> citations affecting §60.4 see the List of CFR Sections Affected, which appears in the Finding Aids section of the printed volume and at </w:t>
      </w:r>
      <w:r w:rsidRPr="006D1604">
        <w:rPr>
          <w:rFonts w:ascii="Times New Roman" w:eastAsia="Times New Roman" w:hAnsi="Times New Roman" w:cs="Times New Roman"/>
          <w:i/>
          <w:iCs/>
          <w:sz w:val="20"/>
          <w:szCs w:val="20"/>
        </w:rPr>
        <w:t>www.fdsys.gov.</w:t>
      </w:r>
      <w:r w:rsidRPr="006D1604">
        <w:rPr>
          <w:rFonts w:ascii="Times New Roman" w:eastAsia="Times New Roman" w:hAnsi="Times New Roman" w:cs="Times New Roman"/>
          <w:sz w:val="20"/>
          <w:szCs w:val="20"/>
        </w:rPr>
        <w:t xml:space="preserve">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6" w:name="40:7.0.1.1.1.1.151.5"/>
      <w:bookmarkEnd w:id="6"/>
      <w:r w:rsidRPr="006D1604">
        <w:rPr>
          <w:rFonts w:ascii="Times New Roman" w:eastAsia="Times New Roman" w:hAnsi="Times New Roman" w:cs="Times New Roman"/>
          <w:b/>
          <w:bCs/>
          <w:sz w:val="20"/>
          <w:szCs w:val="20"/>
        </w:rPr>
        <w:t>§60.5   Determination of construction or modification.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The Administrator will respond to any request for a determination under paragraph (a) of this section within 30 days of receipt of such request.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[40 FR 58418, Dec. 16, 1975]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7" w:name="40:7.0.1.1.1.1.151.6"/>
      <w:bookmarkEnd w:id="7"/>
      <w:r w:rsidRPr="006D1604">
        <w:rPr>
          <w:rFonts w:ascii="Times New Roman" w:eastAsia="Times New Roman" w:hAnsi="Times New Roman" w:cs="Times New Roman"/>
          <w:b/>
          <w:bCs/>
          <w:sz w:val="20"/>
          <w:szCs w:val="20"/>
        </w:rPr>
        <w:t>§60.6   Review of plans.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When requested to do so by an owner or operator, the Administrator will review plans for construction or modification for the purpose of providing technical advice to the owner or operator.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(b)(1) A separate request shall be submitted for each construction or modification project.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[36 FR 24877, Dec. 23, 1971, as amended at 39 FR 9314, Mar. 8, 1974]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8" w:name="40:7.0.1.1.1.1.151.7"/>
      <w:bookmarkEnd w:id="8"/>
      <w:r w:rsidRPr="006D1604">
        <w:rPr>
          <w:rFonts w:ascii="Times New Roman" w:eastAsia="Times New Roman" w:hAnsi="Times New Roman" w:cs="Times New Roman"/>
          <w:b/>
          <w:bCs/>
          <w:sz w:val="20"/>
          <w:szCs w:val="20"/>
        </w:rPr>
        <w:t>§60.7   Notification and record keeping.</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[Reserved]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A notification of the actual date of initial startup of an affected facility postmarked within 15 days after such date.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A notification of the date upon which demonstration of the continuous monitoring system performance commences in accordance with §60.13(c). Notification shall be postmarked not less than 30 days prior to such date.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The date and time identifying each period during which the continuous monitoring system was inoperative except for zero and span checks and the nature of the system repairs or adjustments.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When no excess emissions have occurred or the continuous monitoring system(s) have not been inoperative, repaired, or adjusted, such information shall be stated in the report.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B26481" w:rsidRPr="006D1604" w:rsidRDefault="00B26481" w:rsidP="006D1604">
      <w:pPr>
        <w:spacing w:before="200" w:after="100" w:line="240" w:lineRule="auto"/>
        <w:outlineLvl w:val="0"/>
        <w:rPr>
          <w:rFonts w:ascii="Times New Roman" w:eastAsia="Times New Roman" w:hAnsi="Times New Roman" w:cs="Times New Roman"/>
          <w:smallCaps/>
          <w:kern w:val="36"/>
          <w:sz w:val="20"/>
          <w:szCs w:val="20"/>
        </w:rPr>
      </w:pPr>
      <w:r w:rsidRPr="006D1604">
        <w:rPr>
          <w:rFonts w:ascii="Times New Roman" w:eastAsia="Times New Roman" w:hAnsi="Times New Roman" w:cs="Times New Roman"/>
          <w:smallCaps/>
          <w:kern w:val="36"/>
          <w:sz w:val="20"/>
          <w:szCs w:val="20"/>
        </w:rPr>
        <w:t>Figure 1—Summary Report—Gaseous and Opacity Excess Emission and Monitoring System Performance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Pollutant (Circle One—SO</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/NO</w:t>
      </w:r>
      <w:r w:rsidRPr="006D1604">
        <w:rPr>
          <w:rFonts w:ascii="Times New Roman" w:eastAsia="Times New Roman" w:hAnsi="Times New Roman" w:cs="Times New Roman"/>
          <w:sz w:val="20"/>
          <w:szCs w:val="20"/>
          <w:vertAlign w:val="subscript"/>
        </w:rPr>
        <w:t>X</w:t>
      </w:r>
      <w:r w:rsidRPr="006D1604">
        <w:rPr>
          <w:rFonts w:ascii="Times New Roman" w:eastAsia="Times New Roman" w:hAnsi="Times New Roman" w:cs="Times New Roman"/>
          <w:sz w:val="20"/>
          <w:szCs w:val="20"/>
        </w:rPr>
        <w:t>/TRS/H</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S/CO/Opacity)</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Reporting period dates: From _____ to _____</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Company:</w:t>
      </w:r>
    </w:p>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Emission Limitation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Address:</w:t>
      </w:r>
    </w:p>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Monitor Manufacturer and Model No.</w:t>
      </w:r>
    </w:p>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Date of Latest CMS Certification or Audit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Process Unit(s) Description:</w:t>
      </w:r>
    </w:p>
    <w:p w:rsidR="00B26481" w:rsidRPr="006D1604" w:rsidRDefault="00B26481" w:rsidP="006D1604">
      <w:pPr>
        <w:spacing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Total source operating time in reporting period</w:t>
      </w:r>
      <w:r w:rsidRPr="006D1604">
        <w:rPr>
          <w:rFonts w:ascii="Times New Roman" w:eastAsia="Times New Roman" w:hAnsi="Times New Roman" w:cs="Times New Roman"/>
          <w:sz w:val="20"/>
          <w:szCs w:val="20"/>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829"/>
        <w:gridCol w:w="256"/>
        <w:gridCol w:w="4003"/>
        <w:gridCol w:w="256"/>
      </w:tblGrid>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sz w:val="20"/>
                <w:szCs w:val="20"/>
              </w:rPr>
              <w:t>Emission data summary</w:t>
            </w:r>
            <w:r w:rsidRPr="006D1604">
              <w:rPr>
                <w:rFonts w:ascii="Times New Roman" w:eastAsia="Times New Roman" w:hAnsi="Times New Roman" w:cs="Times New Roman"/>
                <w:b/>
                <w:bCs/>
                <w:sz w:val="20"/>
                <w:szCs w:val="20"/>
                <w:vertAlign w:val="superscript"/>
              </w:rPr>
              <w:t>1</w:t>
            </w:r>
            <w:r w:rsidRPr="006D1604">
              <w:rPr>
                <w:rFonts w:ascii="Times New Roman" w:eastAsia="Times New Roman" w:hAnsi="Times New Roman" w:cs="Times New Roman"/>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sz w:val="20"/>
                <w:szCs w:val="20"/>
              </w:rPr>
              <w:t>CMS performance summary</w:t>
            </w:r>
            <w:r w:rsidRPr="006D1604">
              <w:rPr>
                <w:rFonts w:ascii="Times New Roman" w:eastAsia="Times New Roman" w:hAnsi="Times New Roman" w:cs="Times New Roman"/>
                <w:b/>
                <w:bCs/>
                <w:sz w:val="20"/>
                <w:szCs w:val="20"/>
                <w:vertAlign w:val="superscript"/>
              </w:rPr>
              <w:t>1</w:t>
            </w:r>
            <w:r w:rsidRPr="006D1604">
              <w:rPr>
                <w:rFonts w:ascii="Times New Roman" w:eastAsia="Times New Roman" w:hAnsi="Times New Roman" w:cs="Times New Roman"/>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sz w:val="20"/>
                <w:szCs w:val="20"/>
              </w:rPr>
              <w:t>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w:t>
            </w:r>
            <w:r w:rsidRPr="006D1604">
              <w:rPr>
                <w:rFonts w:ascii="Times New Roman" w:eastAsia="Times New Roman" w:hAnsi="Times New Roman" w:cs="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w:t>
            </w:r>
            <w:r w:rsidRPr="006D1604">
              <w:rPr>
                <w:rFonts w:ascii="Times New Roman" w:eastAsia="Times New Roman" w:hAnsi="Times New Roman" w:cs="Times New Roman"/>
                <w:sz w:val="20"/>
                <w:szCs w:val="20"/>
                <w:vertAlign w:val="superscript"/>
              </w:rPr>
              <w:t>2</w:t>
            </w:r>
          </w:p>
        </w:tc>
      </w:tr>
    </w:tbl>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1</w:t>
      </w:r>
      <w:r w:rsidRPr="006D1604">
        <w:rPr>
          <w:rFonts w:ascii="Times New Roman" w:eastAsia="Times New Roman" w:hAnsi="Times New Roman" w:cs="Times New Roman"/>
          <w:sz w:val="20"/>
          <w:szCs w:val="20"/>
        </w:rPr>
        <w:t>For opacity, record all times in minutes. For gases, record all times in hours.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2</w:t>
      </w:r>
      <w:r w:rsidRPr="006D1604">
        <w:rPr>
          <w:rFonts w:ascii="Times New Roman" w:eastAsia="Times New Roman" w:hAnsi="Times New Roman" w:cs="Times New Roman"/>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On a separate page, describe any changes since last quarter in CMS, process or controls. I certify that the information contained in this report is true, accurate, and complete.</w:t>
      </w:r>
    </w:p>
    <w:p w:rsidR="00B26481" w:rsidRPr="006D1604" w:rsidRDefault="00B26481" w:rsidP="00DA14DF">
      <w:pPr>
        <w:spacing w:after="12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 </w:t>
      </w:r>
      <w:r w:rsidRPr="006D1604">
        <w:rPr>
          <w:rFonts w:ascii="Times New Roman" w:eastAsia="Times New Roman" w:hAnsi="Times New Roman" w:cs="Times New Roman"/>
          <w:sz w:val="20"/>
          <w:szCs w:val="20"/>
        </w:rPr>
        <w:t>Name</w:t>
      </w:r>
    </w:p>
    <w:p w:rsidR="00B26481" w:rsidRPr="006D1604" w:rsidRDefault="00B26481" w:rsidP="00DA14DF">
      <w:pPr>
        <w:spacing w:after="12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 </w:t>
      </w:r>
      <w:r w:rsidRPr="006D1604">
        <w:rPr>
          <w:rFonts w:ascii="Times New Roman" w:eastAsia="Times New Roman" w:hAnsi="Times New Roman" w:cs="Times New Roman"/>
          <w:sz w:val="20"/>
          <w:szCs w:val="20"/>
        </w:rPr>
        <w:t>Signature</w:t>
      </w:r>
    </w:p>
    <w:p w:rsidR="00B26481" w:rsidRPr="006D1604" w:rsidRDefault="00B26481" w:rsidP="00DA14DF">
      <w:pPr>
        <w:spacing w:after="12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 </w:t>
      </w:r>
      <w:r w:rsidRPr="006D1604">
        <w:rPr>
          <w:rFonts w:ascii="Times New Roman" w:eastAsia="Times New Roman" w:hAnsi="Times New Roman" w:cs="Times New Roman"/>
          <w:sz w:val="20"/>
          <w:szCs w:val="20"/>
        </w:rPr>
        <w:t>Title</w:t>
      </w:r>
    </w:p>
    <w:p w:rsidR="00B26481" w:rsidRDefault="00B26481" w:rsidP="00DA14DF">
      <w:pPr>
        <w:spacing w:after="12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 </w:t>
      </w:r>
      <w:r w:rsidRPr="006D1604">
        <w:rPr>
          <w:rFonts w:ascii="Times New Roman" w:eastAsia="Times New Roman" w:hAnsi="Times New Roman" w:cs="Times New Roman"/>
          <w:sz w:val="20"/>
          <w:szCs w:val="20"/>
        </w:rPr>
        <w:t>Date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(ii) The owner or operator continues to comply with all recordkeeping and monitoring requirements specified in this subpart and the applicable standard; and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(iii) The Administrator does not object to a reduced frequency of reporting for the affected facility, as provided in paragraph (e)(2) of this section.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 Individual subparts of this part may include specific provisions which clarify or make inapplicable the provisions set forth in this section.</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9" w:name="40:7.0.1.1.1.1.151.8"/>
      <w:bookmarkEnd w:id="9"/>
      <w:r w:rsidRPr="006D1604">
        <w:rPr>
          <w:rFonts w:ascii="Times New Roman" w:eastAsia="Times New Roman" w:hAnsi="Times New Roman" w:cs="Times New Roman"/>
          <w:b/>
          <w:bCs/>
          <w:sz w:val="20"/>
          <w:szCs w:val="20"/>
        </w:rPr>
        <w:t>§60.8   Performance tests.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 Until an extension of the performance test deadline has been approved by the Administrator under paragraphs (a)(1), (2), and (3) of this section, the owner or operator of the affected facility remains strictly subject to the requirements of this part.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w:t>
      </w:r>
      <w:r w:rsidRPr="006D1604">
        <w:rPr>
          <w:rFonts w:ascii="Times New Roman" w:eastAsia="Times New Roman" w:hAnsi="Times New Roman" w:cs="Times New Roman"/>
          <w:sz w:val="20"/>
          <w:szCs w:val="20"/>
        </w:rPr>
        <w:lastRenderedPageBreak/>
        <w:t xml:space="preserve">necessitated by process variables or other factors. Nothing in this paragraph shall be construed to abrogate the Administrator's authority to require testing under section 114 of the Act.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(e) The owner or operator of an affected facility shall provide, or cause to be provided, performance testing facilities as follows: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Safe sampling platform(s).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Safe access to sampling platform(s).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Utilities for sampling and testing equipment.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w:t>
      </w:r>
      <w:r w:rsidRPr="006D1604">
        <w:rPr>
          <w:rFonts w:ascii="Times New Roman" w:eastAsia="Times New Roman" w:hAnsi="Times New Roman" w:cs="Times New Roman"/>
          <w:sz w:val="20"/>
          <w:szCs w:val="20"/>
        </w:rPr>
        <w:lastRenderedPageBreak/>
        <w:t>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6D1604">
        <w:rPr>
          <w:rFonts w:ascii="Times New Roman" w:eastAsia="Times New Roman" w:hAnsi="Times New Roman" w:cs="Times New Roman"/>
          <w:i/>
          <w:iCs/>
          <w:sz w:val="20"/>
          <w:szCs w:val="20"/>
        </w:rPr>
        <w:t>www.epa.gov/ttn/emc,</w:t>
      </w:r>
      <w:r w:rsidRPr="006D1604">
        <w:rPr>
          <w:rFonts w:ascii="Times New Roman" w:eastAsia="Times New Roman" w:hAnsi="Times New Roman" w:cs="Times New Roman"/>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Preparing the sample;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Confirming the true concentration of the sample;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(iv) Providing the opportunity for the compliance authority to comment on the selected concentration level for an audit sample;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 Distributing the sample to the user in a manner that guarantees that the true value of the sample is unknown to the user;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 Recording the measured concentration reported by the user and determining if the measured value is within acceptable limits;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(viii) Evaluating the acceptance limits of samples at least once every two years to determine in cooperation with the voluntary consensus standard body if they should be changed;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Checking audit samples to confirm their true value as reported by the AASP;</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Performing technical systems audits of the AASP's facilities and operating procedures at least once every two years;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Providing standards for use by the voluntary consensus standard body to approve the accrediting body that will accredit the audit sample providers.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6D1604">
        <w:rPr>
          <w:rFonts w:ascii="Times New Roman" w:eastAsia="Times New Roman" w:hAnsi="Times New Roman" w:cs="Times New Roman"/>
          <w:i/>
          <w:iCs/>
          <w:sz w:val="20"/>
          <w:szCs w:val="20"/>
        </w:rPr>
        <w:t>http://standards.gov/standards_gov/a119.cfm.</w:t>
      </w:r>
      <w:r w:rsidRPr="006D1604">
        <w:rPr>
          <w:rFonts w:ascii="Times New Roman" w:eastAsia="Times New Roman" w:hAnsi="Times New Roman" w:cs="Times New Roman"/>
          <w:sz w:val="20"/>
          <w:szCs w:val="20"/>
        </w:rPr>
        <w:t xml:space="preserve"> The VCSB shall approve all accrediting bodies. The Administrator will review all technical criteria documents. If the technical criteria </w:t>
      </w:r>
      <w:r w:rsidRPr="006D1604">
        <w:rPr>
          <w:rFonts w:ascii="Times New Roman" w:eastAsia="Times New Roman" w:hAnsi="Times New Roman" w:cs="Times New Roman"/>
          <w:sz w:val="20"/>
          <w:szCs w:val="20"/>
        </w:rPr>
        <w:lastRenderedPageBreak/>
        <w:t xml:space="preserve">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D1604">
        <w:rPr>
          <w:rFonts w:ascii="Times New Roman" w:eastAsia="Times New Roman" w:hAnsi="Times New Roman" w:cs="Times New Roman"/>
          <w:i/>
          <w:iCs/>
          <w:sz w:val="20"/>
          <w:szCs w:val="20"/>
        </w:rPr>
        <w:t>http://www.epa.gov/ttn/emc.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0" w:name="40:7.0.1.1.1.1.151.9"/>
      <w:bookmarkEnd w:id="10"/>
      <w:r w:rsidRPr="006D1604">
        <w:rPr>
          <w:rFonts w:ascii="Times New Roman" w:eastAsia="Times New Roman" w:hAnsi="Times New Roman" w:cs="Times New Roman"/>
          <w:b/>
          <w:bCs/>
          <w:sz w:val="20"/>
          <w:szCs w:val="20"/>
        </w:rPr>
        <w:t>§60.9   Availability of information.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1" w:name="40:7.0.1.1.1.1.151.10"/>
      <w:bookmarkEnd w:id="11"/>
      <w:r w:rsidRPr="006D1604">
        <w:rPr>
          <w:rFonts w:ascii="Times New Roman" w:eastAsia="Times New Roman" w:hAnsi="Times New Roman" w:cs="Times New Roman"/>
          <w:b/>
          <w:bCs/>
          <w:sz w:val="20"/>
          <w:szCs w:val="20"/>
        </w:rPr>
        <w:t>§60.10   State authority.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The provisions of this part shall not be construed in any manner to preclude any State or political subdivision thereof from: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Adopting and enforcing any emission standard or limitation applicable to an affected facility, provided that such emission standard or limitation is not less stringent than the standard applicable to such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Requiring the owner or operator of an affected facility to obtain permits, licenses, or approvals prior to initiating construction, modification, or operation of such facility.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2" w:name="40:7.0.1.1.1.1.151.11"/>
      <w:bookmarkEnd w:id="12"/>
      <w:r w:rsidRPr="006D1604">
        <w:rPr>
          <w:rFonts w:ascii="Times New Roman" w:eastAsia="Times New Roman" w:hAnsi="Times New Roman" w:cs="Times New Roman"/>
          <w:b/>
          <w:bCs/>
          <w:sz w:val="20"/>
          <w:szCs w:val="20"/>
        </w:rPr>
        <w:t>§60.11   Compliance with standards and maintenance requirements.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Compliance with standards in this part, other than opacity standards, shall be determined in accordance with performance tests established by §60.8, unless otherwise specified in the applicable standard.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The opacity standards set forth in this part shall apply at all times except during periods of startup, shutdown, malfunction, and as otherwise provided in the applicable standard.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w:t>
      </w:r>
      <w:r w:rsidRPr="006D1604">
        <w:rPr>
          <w:rFonts w:ascii="Times New Roman" w:eastAsia="Times New Roman" w:hAnsi="Times New Roman" w:cs="Times New Roman"/>
          <w:sz w:val="20"/>
          <w:szCs w:val="20"/>
        </w:rPr>
        <w:lastRenderedPageBreak/>
        <w:t>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6D1604">
        <w:rPr>
          <w:rFonts w:ascii="Times New Roman" w:eastAsia="Times New Roman" w:hAnsi="Times New Roman" w:cs="Times New Roman"/>
          <w:smallCaps/>
          <w:sz w:val="20"/>
          <w:szCs w:val="20"/>
        </w:rPr>
        <w:t>Federal Register.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 Special provisions set forth under an applicable subpart shall supersede any conflicting provisions in paragraphs (a) through (e)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3" w:name="40:7.0.1.1.1.1.151.12"/>
      <w:bookmarkEnd w:id="13"/>
      <w:r w:rsidRPr="006D1604">
        <w:rPr>
          <w:rFonts w:ascii="Times New Roman" w:eastAsia="Times New Roman" w:hAnsi="Times New Roman" w:cs="Times New Roman"/>
          <w:b/>
          <w:bCs/>
          <w:sz w:val="20"/>
          <w:szCs w:val="20"/>
        </w:rPr>
        <w:t>§60.12   Circumvention.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[39 FR 9314, Mar. 8, 1974]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4" w:name="40:7.0.1.1.1.1.151.13"/>
      <w:bookmarkEnd w:id="14"/>
      <w:r w:rsidRPr="006D1604">
        <w:rPr>
          <w:rFonts w:ascii="Times New Roman" w:eastAsia="Times New Roman" w:hAnsi="Times New Roman" w:cs="Times New Roman"/>
          <w:b/>
          <w:bCs/>
          <w:sz w:val="20"/>
          <w:szCs w:val="20"/>
        </w:rPr>
        <w:t>§60.13   Monitoring requirements.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 Except as provided under paragraph (h)(2)(iii) of this section, for a full operating hour (any clock hour with 60 minutes of unit operation), at least four valid data points are required to calculate the hourly average, </w:t>
      </w:r>
      <w:r w:rsidRPr="006D1604">
        <w:rPr>
          <w:rFonts w:ascii="Times New Roman" w:eastAsia="Times New Roman" w:hAnsi="Times New Roman" w:cs="Times New Roman"/>
          <w:i/>
          <w:iCs/>
          <w:sz w:val="20"/>
          <w:szCs w:val="20"/>
        </w:rPr>
        <w:t>i.e.</w:t>
      </w:r>
      <w:r w:rsidRPr="006D1604">
        <w:rPr>
          <w:rFonts w:ascii="Times New Roman" w:eastAsia="Times New Roman" w:hAnsi="Times New Roman" w:cs="Times New Roman"/>
          <w:sz w:val="20"/>
          <w:szCs w:val="20"/>
        </w:rPr>
        <w:t>, one data point in each of the 15-minute quadrants of the hour.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For any operating hour in which required maintenance or quality-assurance activities are performed: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If the unit operates in two or more quadrants of the hour, a minimum of two valid data points, separated by at least 15 minutes, is required to calculate the hourly average; 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If the unit operates in only one quadrant of the hour, at least one valid data point is required to calculate the hourly average.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 For each full or partial operating hour, all valid data points shall be used to calculate the hourly average.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(vii) Owners and operators complying with the requirements of §60.7(f)(1) or (2) must include any data recorded during periods of monitor breakdown or malfunction in the data averages.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(viii) When specified in an applicable subpart, hourly averages for certain partial operating hours shall not be computed or included in the emission averages (e.g., hours with 30 minutes of unit operation under §60.47b(d)).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(ix) Either arithmetic or integrated averaging of all data may be used to calculate the hourly averages. The data may be recorded in reduced or nonreduced form (e.g., ppm pollutant and percent O</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 xml:space="preserve"> or ng/J of pollutant).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 After receipt and consideration of written application, the Administrator may approve alternatives to any monitoring procedures or requirements of this part including, but not limited to the following: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Alternative monitoring requirements when the affected facility is infrequently operated.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Alternative monitoring requirements to accommodate continuous monitoring systems that require additional measurements to correct for stack moisture conditions.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Alternative methods of converting pollutant concentration measurements to units of the standards.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(6) Alternative procedures for performing daily checks of zero and span drift that do not involve use of span gases or test cells.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(7) Alternatives to the A.S.T.M. test methods or sampling procedures specified by any subpart.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(9) Alternative monitoring requirements when the effluent from a single affected facility or the combined effluent from two or more affected facilities is released to the atmosphere through more than one point.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(j) An alternative to the relative accuracy (RA) test specified in Performance Specification 2 of appendix B may be requested as follows: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79 FR 11242, Feb. 27, 2014] </w:t>
      </w:r>
    </w:p>
    <w:p w:rsidR="00B26481" w:rsidRPr="006D1604" w:rsidRDefault="00B26481" w:rsidP="006D1604">
      <w:pPr>
        <w:spacing w:before="200"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mallCaps/>
          <w:sz w:val="20"/>
          <w:szCs w:val="20"/>
        </w:rPr>
        <w:t>Editorial Note:</w:t>
      </w:r>
      <w:r w:rsidRPr="006D1604">
        <w:rPr>
          <w:rFonts w:ascii="Times New Roman" w:eastAsia="Times New Roman" w:hAnsi="Times New Roman" w:cs="Times New Roman"/>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appear in the sixth sentence of paragraph (h).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5" w:name="40:7.0.1.1.1.1.151.14"/>
      <w:bookmarkEnd w:id="15"/>
      <w:r w:rsidRPr="006D1604">
        <w:rPr>
          <w:rFonts w:ascii="Times New Roman" w:eastAsia="Times New Roman" w:hAnsi="Times New Roman" w:cs="Times New Roman"/>
          <w:b/>
          <w:bCs/>
          <w:sz w:val="20"/>
          <w:szCs w:val="20"/>
        </w:rPr>
        <w:t>§60.14   Modification.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w:t>
      </w:r>
      <w:r w:rsidRPr="006D1604">
        <w:rPr>
          <w:rFonts w:ascii="Times New Roman" w:eastAsia="Times New Roman" w:hAnsi="Times New Roman" w:cs="Times New Roman"/>
          <w:sz w:val="20"/>
          <w:szCs w:val="20"/>
        </w:rPr>
        <w:lastRenderedPageBreak/>
        <w:t xml:space="preserve">modification, an existing facility shall become an affected facility for each pollutant to which a standard applies and for which there is an increase in the emission rate to the atmosphere.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Emission rate shall be expressed as kg/hr of any pollutant discharged into the atmosphere for which a standard is applicable. The Administrator shall use the following to determine emission rate: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(d) [Reserved]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(e) The following shall not, by themselves, be considered modifications under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Maintenance, repair, and replacement which the Administrator determines to be routine for a source category, subject to the provisions of paragraph (c) of this section and §60.15.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An increase in production rate of an existing facility, if that increase can be accomplished without a capital expenditure on that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An increase in the hours of operation.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(6) The relocation or change in ownership of an existing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(f) Special provisions set forth under an applicable subpart of this part shall supersede any conflicting provisions of this section.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(g) Within 180 days of the completion of any physical or operational change subject to the control measures specified in paragraph (a) of this section, compliance with all applicable standards must be achieved.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This exemption shall not apply to any new unit that: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 Is designated as a replacement for an existing unit;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(ii) Qualifies under section 409(b) of the Clean Air Act for an extension of an emission limitation compliance date under section 405 of the Clean Air Act; and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(iii) Is located at a different site than the existing unit.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(k) The installation, operation, cessation, or removal of a temporary clean coal technology demonstration project is exempt from the requirements of this section. A </w:t>
      </w:r>
      <w:r w:rsidRPr="006D1604">
        <w:rPr>
          <w:rFonts w:ascii="Times New Roman" w:eastAsia="Times New Roman" w:hAnsi="Times New Roman" w:cs="Times New Roman"/>
          <w:i/>
          <w:iCs/>
          <w:sz w:val="20"/>
          <w:szCs w:val="20"/>
        </w:rPr>
        <w:t>temporary clean coal control technology demonstration project,</w:t>
      </w:r>
      <w:r w:rsidRPr="006D1604">
        <w:rPr>
          <w:rFonts w:ascii="Times New Roman" w:eastAsia="Times New Roman" w:hAnsi="Times New Roman" w:cs="Times New Roman"/>
          <w:sz w:val="20"/>
          <w:szCs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 The reactivation of a very clean coal-fired electric utility steam generating unit is exempt from the requirements of this section.</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[40 FR 58419, Dec. 16, 1975, as amended at 43 FR 34347, Aug. 3, 1978; 45 FR 5617, Jan. 23, 1980; 57 FR 32339, July 21, 1992; 65 FR 61750, Oct. 17, 2000]</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6" w:name="40:7.0.1.1.1.1.151.15"/>
      <w:bookmarkEnd w:id="16"/>
      <w:r w:rsidRPr="006D1604">
        <w:rPr>
          <w:rFonts w:ascii="Times New Roman" w:eastAsia="Times New Roman" w:hAnsi="Times New Roman" w:cs="Times New Roman"/>
          <w:b/>
          <w:bCs/>
          <w:sz w:val="20"/>
          <w:szCs w:val="20"/>
        </w:rPr>
        <w:t>§60.15   Reconstruction.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An existing facility, upon reconstruction, becomes an affected facility, irrespective of any change in emission rate.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“Reconstruction” means the replacement of components of an existing facility to such an extent that: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The fixed capital cost of the new components exceeds 50 percent of the fixed capital cost that would be required to construct a comparable entirely new facility, and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(2) It is technologically and economically feasible to meet the applicable standards set forth in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“Fixed capital cost” means the capital needed to provide all the depreciable components.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Name and address of the owner or operator.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The location of the existing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A brief description of the existing facility and the components which are to be replaced.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A description of the existing air pollution control equipment and the proposed air pollution control equipment.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An estimate of the fixed capital cost of the replacements and of constructing a comparable entirely new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(6) The estimated life of the existing facility after the replacements.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(7) A discussion of any economic or technical limitations the facility may have in complying with the applicable standards of performance after the proposed replacements.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(f) The Administrator's determination under paragraph (e) shall be based 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The fixed capital cost of the replacements in comparison to the fixed capital cost that would be required to construct a comparable entirely new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The estimated life of the facility after the replacements compared to the life of a comparable entirely new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The extent to which the components being replaced cause or contribute to the emissions from the facility; and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Any economic or technical limitations on compliance with applicable standards of performance which are inherent in the proposed replacements.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(g) Individual subparts of this part may include specific provisions which refine and delimit the concept of reconstruction set forth in this section.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[40 FR 58420, Dec. 16, 1975]</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7" w:name="40:7.0.1.1.1.1.151.16"/>
      <w:bookmarkEnd w:id="17"/>
      <w:r w:rsidRPr="006D1604">
        <w:rPr>
          <w:rFonts w:ascii="Times New Roman" w:eastAsia="Times New Roman" w:hAnsi="Times New Roman" w:cs="Times New Roman"/>
          <w:b/>
          <w:bCs/>
          <w:sz w:val="20"/>
          <w:szCs w:val="20"/>
        </w:rPr>
        <w:t>§60.16   Priority list.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b/>
          <w:bCs/>
          <w:smallCaps/>
          <w:sz w:val="20"/>
          <w:szCs w:val="20"/>
        </w:rPr>
      </w:pPr>
      <w:r w:rsidRPr="006D1604">
        <w:rPr>
          <w:rFonts w:ascii="Times New Roman" w:eastAsia="Times New Roman" w:hAnsi="Times New Roman" w:cs="Times New Roman"/>
          <w:b/>
          <w:bCs/>
          <w:smallCaps/>
          <w:sz w:val="20"/>
          <w:szCs w:val="20"/>
        </w:rPr>
        <w:lastRenderedPageBreak/>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254"/>
        <w:gridCol w:w="8090"/>
      </w:tblGrid>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i/>
                <w:iCs/>
                <w:sz w:val="20"/>
                <w:szCs w:val="20"/>
              </w:rPr>
              <w:t>Priority Number</w:t>
            </w:r>
            <w:r w:rsidRPr="006D1604">
              <w:rPr>
                <w:rFonts w:ascii="Times New Roman" w:eastAsia="Times New Roman" w:hAnsi="Times New Roman" w:cs="Times New Roman"/>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i/>
                <w:iCs/>
                <w:sz w:val="20"/>
                <w:szCs w:val="20"/>
              </w:rPr>
              <w:t>Source Category</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Synthetic Organic Chemical Manufacturing Industry (SOCMI) and Volatile Organic Liquid Storage Vessels and Handling Equipment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SOCMI unit processes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Volatile organic liquid (VOL) storage vessels and handling equipment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SOCMI fugitive sources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(d) SOCMI secondary sources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Cans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Petroleum Refineries: Fugitive Sources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Paper</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Dry Cleaning</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Perchloroethylene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Petroleum solvent</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Graphic Arts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Acrylic Resins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Mineral Wool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Stationary Internal Combustion Engines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Fabric</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Industrial-Commercial-Institutional Steam Generating Units.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Incineration: Non-Municipal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Non-Metallic Mineral Processing</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Metallic Mineral Processing</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Secondary Copper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Phosphate Rock Preparation</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Foundries: Steel and Gray Iron</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Polyethylene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Charcoal Production</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Synthetic Rubber</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Tire manufacture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SBR production</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Vegetable Oil</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Metal Coil</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23.</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Petroleum Transportation and Marketing</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By-Product Coke Ovens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Synthetic Fibers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Plywood Manufacture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Automobiles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Large Appliances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Crude Oil and Natural Gas Production</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Secondary Aluminum</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Potash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Lightweight Aggregate Industry: Clay, Shale, and Slate</w:t>
            </w:r>
            <w:r w:rsidRPr="006D1604">
              <w:rPr>
                <w:rFonts w:ascii="Times New Roman" w:eastAsia="Times New Roman" w:hAnsi="Times New Roman" w:cs="Times New Roman"/>
                <w:sz w:val="20"/>
                <w:szCs w:val="20"/>
                <w:vertAlign w:val="superscript"/>
              </w:rPr>
              <w:t>2</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Glass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Gypsum</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Sodium Carbonate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Secondary Zinc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Phenolic</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Urea-Melamine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Ammonia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Polystyrene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ABS-SAN Resins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Fiberglass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Polypropylene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Textile Processing</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Asphalt Processing and Asphalt Roofing Manufacture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Brick and Related Clay Products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Ceramic Clay Manufacturing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Ammonium Nitrate Fertilizer</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Castable Refractories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Borax and Boric Acid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Polyester Resins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Ammonium Sulfate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Starch</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Perlite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Phosphoric Acid: Thermal Process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Uranium Refining</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57.</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Animal Feed Defluorination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Urea (for fertilizer and polymers)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Detergent (Deleted)</w:t>
            </w:r>
          </w:p>
        </w:tc>
      </w:tr>
      <w:tr w:rsidR="00B26481" w:rsidRPr="006D1604" w:rsidTr="00B2648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Other Source Categories</w:t>
            </w:r>
          </w:p>
        </w:tc>
      </w:tr>
      <w:tr w:rsidR="00B26481" w:rsidRPr="006D1604" w:rsidTr="00B2648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Lead acid battery manufacture</w:t>
            </w:r>
            <w:r w:rsidRPr="006D1604">
              <w:rPr>
                <w:rFonts w:ascii="Times New Roman" w:eastAsia="Times New Roman" w:hAnsi="Times New Roman" w:cs="Times New Roman"/>
                <w:sz w:val="20"/>
                <w:szCs w:val="20"/>
                <w:vertAlign w:val="superscript"/>
              </w:rPr>
              <w:t>3</w:t>
            </w:r>
          </w:p>
        </w:tc>
      </w:tr>
      <w:tr w:rsidR="00B26481" w:rsidRPr="006D1604" w:rsidTr="00B2648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Organic solvent cleaning</w:t>
            </w:r>
            <w:r w:rsidRPr="006D1604">
              <w:rPr>
                <w:rFonts w:ascii="Times New Roman" w:eastAsia="Times New Roman" w:hAnsi="Times New Roman" w:cs="Times New Roman"/>
                <w:sz w:val="20"/>
                <w:szCs w:val="20"/>
                <w:vertAlign w:val="superscript"/>
              </w:rPr>
              <w:t>3</w:t>
            </w:r>
          </w:p>
        </w:tc>
      </w:tr>
      <w:tr w:rsidR="00B26481" w:rsidRPr="006D1604" w:rsidTr="00B2648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metal furniture</w:t>
            </w:r>
            <w:r w:rsidRPr="006D1604">
              <w:rPr>
                <w:rFonts w:ascii="Times New Roman" w:eastAsia="Times New Roman" w:hAnsi="Times New Roman" w:cs="Times New Roman"/>
                <w:sz w:val="20"/>
                <w:szCs w:val="20"/>
                <w:vertAlign w:val="superscript"/>
              </w:rPr>
              <w:t>3</w:t>
            </w:r>
          </w:p>
        </w:tc>
      </w:tr>
      <w:tr w:rsidR="00B26481" w:rsidRPr="006D1604" w:rsidTr="00B2648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Stationary gas turbines</w:t>
            </w:r>
            <w:r w:rsidRPr="006D1604">
              <w:rPr>
                <w:rFonts w:ascii="Times New Roman" w:eastAsia="Times New Roman" w:hAnsi="Times New Roman" w:cs="Times New Roman"/>
                <w:sz w:val="20"/>
                <w:szCs w:val="20"/>
                <w:vertAlign w:val="superscript"/>
              </w:rPr>
              <w:t>4</w:t>
            </w:r>
          </w:p>
        </w:tc>
      </w:tr>
      <w:tr w:rsidR="00B26481" w:rsidRPr="006D1604" w:rsidTr="00B2648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Municipal solid waste landfills</w:t>
            </w:r>
            <w:r w:rsidRPr="006D1604">
              <w:rPr>
                <w:rFonts w:ascii="Times New Roman" w:eastAsia="Times New Roman" w:hAnsi="Times New Roman" w:cs="Times New Roman"/>
                <w:sz w:val="20"/>
                <w:szCs w:val="20"/>
                <w:vertAlign w:val="superscript"/>
              </w:rPr>
              <w:t>4</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bl>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1</w:t>
      </w:r>
      <w:r w:rsidRPr="006D1604">
        <w:rPr>
          <w:rFonts w:ascii="Times New Roman" w:eastAsia="Times New Roman" w:hAnsi="Times New Roman" w:cs="Times New Roman"/>
          <w:sz w:val="20"/>
          <w:szCs w:val="20"/>
        </w:rPr>
        <w:t>Low numbers have highest priority, e.g., No. 1 is high priority, No. 59 is low priority.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2</w:t>
      </w:r>
      <w:r w:rsidRPr="006D1604">
        <w:rPr>
          <w:rFonts w:ascii="Times New Roman" w:eastAsia="Times New Roman" w:hAnsi="Times New Roman" w:cs="Times New Roman"/>
          <w:sz w:val="20"/>
          <w:szCs w:val="20"/>
        </w:rPr>
        <w:t>Formerly titled “Sintering: Clay and Fly Ash”.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3</w:t>
      </w:r>
      <w:r w:rsidRPr="006D1604">
        <w:rPr>
          <w:rFonts w:ascii="Times New Roman" w:eastAsia="Times New Roman" w:hAnsi="Times New Roman" w:cs="Times New Roman"/>
          <w:sz w:val="20"/>
          <w:szCs w:val="20"/>
        </w:rPr>
        <w:t>Minor source category, but included on list since an NSPS is being developed for that source category.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4</w:t>
      </w:r>
      <w:r w:rsidRPr="006D1604">
        <w:rPr>
          <w:rFonts w:ascii="Times New Roman" w:eastAsia="Times New Roman" w:hAnsi="Times New Roman" w:cs="Times New Roman"/>
          <w:sz w:val="20"/>
          <w:szCs w:val="20"/>
        </w:rPr>
        <w:t>Not prioritized, since an NSPS for this major source category has already been promulgated.</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[47 FR 951, Jan. 8, 1982, as amended at 47 FR 31876, July 23, 1982; 51 FR 42796, Nov. 25, 1986; 52 FR 11428, Apr. 8, 1987; 61 FR 9919, Mar. 12, 1996]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8" w:name="40:7.0.1.1.1.1.151.17"/>
      <w:bookmarkEnd w:id="18"/>
      <w:r w:rsidRPr="006D1604">
        <w:rPr>
          <w:rFonts w:ascii="Times New Roman" w:eastAsia="Times New Roman" w:hAnsi="Times New Roman" w:cs="Times New Roman"/>
          <w:b/>
          <w:bCs/>
          <w:sz w:val="20"/>
          <w:szCs w:val="20"/>
        </w:rPr>
        <w:t>§60.17   Incorporations by reference.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6D1604">
        <w:rPr>
          <w:rFonts w:ascii="Times New Roman" w:eastAsia="Times New Roman" w:hAnsi="Times New Roman" w:cs="Times New Roman"/>
          <w:smallCaps/>
          <w:sz w:val="20"/>
          <w:szCs w:val="20"/>
        </w:rPr>
        <w:t>Federal Register</w:t>
      </w:r>
      <w:r w:rsidRPr="006D1604">
        <w:rPr>
          <w:rFonts w:ascii="Times New Roman" w:eastAsia="Times New Roman" w:hAnsi="Times New Roman" w:cs="Times New Roman"/>
          <w:sz w:val="20"/>
          <w:szCs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 741-6030 or go to </w:t>
      </w:r>
      <w:r w:rsidRPr="006D1604">
        <w:rPr>
          <w:rFonts w:ascii="Times New Roman" w:eastAsia="Times New Roman" w:hAnsi="Times New Roman" w:cs="Times New Roman"/>
          <w:i/>
          <w:iCs/>
          <w:sz w:val="20"/>
          <w:szCs w:val="20"/>
        </w:rPr>
        <w:t>http://www.archives.gov/federal_register/code_of_federal_regulations/ibr_locations.html.</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American Gas Association, available through ILI Infodisk, 610 Winters Avenue, Paramus, New Jersey 07652: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American Gas Association Report No. 3: Orifice Metering for Natural Gas and Other Related Hydrocarbon Fluids, Part 1: General Equations and Uncertainty Guidelines (1990),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American Gas Association Report No. 3: Orifice Metering for Natural Gas and Other Related Hydrocarbon Fluids, Part 2: Specification and Installation Requirements (2000),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American Gas Association Report No. 11: Measurement of Natural Gas by Coriolis Meter (2003),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(4) American Gas Association Transmission Measurement Committee Report No. 7: Measurement of Gas by Turbine Meters (Revised February 2006),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 American Petroleum Institute (API), 1220 L Street NW., Washington, DC 20005.</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API Publication 2517, Evaporation Loss from External Floating Roof Tanks, Second Edition, February 1980, IBR approved for §§60.111(i), 60.111a(f), and 60.116b(e).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API Manual of Petroleum Measurement Standards, Chapter 22—Testing Protocol, Section 2—Differential Pressure Flow Measurement Devices, First Edition, August 2005,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 American Public Health Association, 1015 18th Street NW., Washington, DC 20036.</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“Standard Methods for the Examination of Water and Wastewater,” 16th edition, 1985. Method 303F: “Determination of Mercury by the Cold Vapor Technique.” Incorporated by reference for appendix A-8 to part 60, Method 29, §§9.2.3, 10.3, and 11.1.3.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2540 G. Total, Fixed, and Volatile Solids in Solid and Semisolid Samples, in Standard Methods for the Examination of Water and Wastewater, 20th Edition, 1998, IBR approved for §60.154(b).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(f) The following material is available for purchase from the American Society of Mechanical Engineers (ASME), Two Park Avenue, New York, NY 10016-5990, Telephone (800) 843-2763, and is also available at the following Web site: </w:t>
      </w:r>
      <w:r w:rsidRPr="006D1604">
        <w:rPr>
          <w:rFonts w:ascii="Times New Roman" w:eastAsia="Times New Roman" w:hAnsi="Times New Roman" w:cs="Times New Roman"/>
          <w:i/>
          <w:iCs/>
          <w:sz w:val="20"/>
          <w:szCs w:val="20"/>
        </w:rPr>
        <w:t>http://www.asme.org.</w:t>
      </w:r>
      <w:r w:rsidRPr="006D1604">
        <w:rPr>
          <w:rFonts w:ascii="Times New Roman" w:eastAsia="Times New Roman" w:hAnsi="Times New Roman" w:cs="Times New Roman"/>
          <w:sz w:val="20"/>
          <w:szCs w:val="20"/>
        </w:rPr>
        <w:t xml:space="preserv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ASME Interim Supplement 19.5 on Instruments and Apparatus: Application, Part II of Fluid Meters, 6th Edition (1971), IBR approved for §§60.58a(h), 60.58b(i), 60.1320(a), and 60.1810(a).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ASME MFC-3M-2004, Measurement of Fluid Flow in Pipes Using Orifice, Nozzle, and Venturi,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ASME/ANSI MFC-4M-1986 (Reaffirmed 2008), Measurement of Gas Flow by Turbine 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 ASME/ANSI MFC-5M-1985 (Reaffirmed 2006), Measurement of Liquid Flow in Closed Conduits Using Transit-Time Ultrasonic Flowmeters,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 ASME MFC-6M-1998 (Reaffirmed 2005), Measurement of Fluid Flow in Pipes Using Vortex Flowmeters,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 ASME/ANSI MFC-7M-1987 (Reaffirmed 2006), Measurement of Gas Flow by Means of Critical Flow Venturi Nozzles,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(7) ASME/ANSI MFC-9M-1988 (Reaffirmed 2006), Measurement of Liquid Flow in Closed Conduits by Weighing Method,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 ASME MFC-11M-2006, Measurement of Fluid Flow by Means of Coriolis Mass Flowmeters,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 ASME MFC-14M-2003, Measurement of Fluid Flow Using Small Bore Precision Orifice 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 ASME MFC-16-2007, Measurement of Liquid Flow in Closed Conduits with Electromagnetic Flowmeters,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 ASME MFC-18M-2001, Measurement of Fluid Flow Using Variable Area 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 ASME MFC-22-2007, Measurement of Liquid by Turbine Flowmeters,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 ASME PTC 4.1-1964 (Reaffirmed 1991), Power Test Codes: Test Code for Steam Generating Units (with 1968 and 1969 Addenda), IBR approved for §§60.46b, 60.58a(h), 60.58b(i), 60.1320(a), and 60.1810(a).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and 60.5413(b).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 ASME QRO-1-1994, Standard for the Qualification and Certification of Resource Recovery Facility Operators, IBR approved for §§60.54b(a) and (b), 60.56a, 60.1185(a) and (c), and 60.1675(a) and (c).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 American Society for Testing and Materials (ASTM), 100 Barr Harbor Drive, Post Office Box C700, West Conshohocken, PA 19428-2959; also available through ProQuest, 300 North Zeeb Road, Ann Arbor, MI 48106.</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ASTM A99-76, Standard Specification for Ferromanganese,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ASTM A99-82 (Reapproved 1987), Standard Specification for Ferromanganese,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ASTM A100-69, Standard Specification for Ferrosilicon,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 ASTM A100-74, Standard Specification for Ferrosilicon,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 ASTM A100-93, Standard Specification for Ferrosilicon,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 ASTM A101-73, Standard Specification for Ferrochromium,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 ASTM A101-93, Standard Specification for Ferrochromium,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 ASTM A482-76, Standard Specification for Ferrochromesilicon,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 ASTM A482-93, Standard Specification for Ferrochromesilicon,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(10) ASTM A483-64, Standard Specification for Silicomanganese,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 ASTM A483-74 (Reapproved 1988), Standard Specification for Silicomanganese,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 ASTM A495-76, Standard Specification for Calcium-Silicon and Calcium Manganese-Silicon,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 ASTM A495-94, Standard Specification for Calcium-Silicon and Calcium Manganese-Silicon,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 ASTM D86-78, Distillation of Petroleum Products, IBR approved for §§60.562-2(d), 60.593(d), 60.593a(d), 60.633(h).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 ASTM D86-82, Distillation of Petroleum Products, IBR approved for §§60.562-2(d), 60.593(d), 60.593a(d), 60.633(h).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 ASTM D86-90, Distillation of Petroleum Products, IBR approved for §§60.562-2(d), 60.593(d), 60.593a(d), 60.633(h).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 ASTM D86-93, Distillation of Petroleum Products, IBR approved for §§60.562-2(d), 60.593(d), 60.593a(d), 60.633(h).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 ASTM D86-95, Distillation of Petroleum Products, IBR approved for §§60.562-2(d), 60.593(d), 60.593a(d), 60.633(h).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 ASTM D86-96, Distillation of Petroleum Products, (Approved April 10, 1996), IBR approved for §§60.562-2(d), 60.593(d), 60.593a(d), 60.633(h), and 60.5401(f).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(20) ASTM D129-64, Standard Test Method for Sulfur in Petroleum Products (General Bomb Method), IBR approved for §§60.106(j)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(21) ASTM D129-78, Standard Test Method for Sulfur in Petroleum Products (General Bomb Method), IBR approved for §§60.106(j)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(22) ASTM D129-95, Standard Test Method for Sulfur in Petroleum Products (General Bomb Method), IBR approved for §§60.106(j)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(23) ASTM D129-00, Standard Test Method for Sulfur in Petroleum Products (General Bomb Method),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(24) ASTM D129-00 (Reapproved 2005), Standard Test Method for Sulfur in Petroleum Products (General Bomb Method),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(25) ASTM D240-76, Standard Test Method for Heat of Combustion of Liquid Hydrocarbon Fuels by Bomb Calorimeter, IBR approved for §§60.46(c), 60.296(b),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(26) ASTM D240-92, Standard Test Method for Heat of Combustion of Liquid Hydrocarbon Fuels by Bomb Calorimeter, IBR approved for §§60.46(c), 60.296(b), and appendix A-7: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(27) ASTM D240-02 (Reapproved 2007), Standard Test Method for Heat of Combustion of Liquid Hydrocarbon Fuels by Bomb Calorimeter, (Approved May 1, 2007),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(28) ASTM D270-65, Standard Method of Sampling Petroleum and Petroleum Products, IBR approved for appendix A-7 to part 60: Method 19, Section 12.5.2.2.1.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(29) ASTM D270-75, Standard Method of Sampling Petroleum and Petroleum Products, IBR approved for appendix A-7 to part 60: Method 19, Section 12.5.2.2.1.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(30) ASTM D323-82, Test Method for Vapor Pressure of Petroleum Products (Reid Method), IBR approved for §§60.111(l), 60.111a(g), 60.111b, and 60.116b(f).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(31) ASTM D323-94, Test Method for Vapor Pressure of Petroleum Products (Reid Method), IBR approved for §§60.111(l), 60.111a(g), 60.111b, and 60.116b(f).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(32) ASTM D388-77, Standard Specification for Classification of Coals by Rank, IBR approved for §§60.41, 60.45(f), 60.41Da, 60.41b, 60.41c, and 60.251.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(33) ASTM D388-90, Standard Specification for Classification of Coals by Rank, IBR approved for §§60.41, 60.45(f), 60.41Da, 60.41b, 60.41c, and 60.251.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(34) ASTM D388-91, Standard Specification for Classification of Coals by Rank, IBR approved for §§60.41, 60.45(f), 60.41Da, 60.41b, 60.41c, and 60.251.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(35) ASTM D388-95, Standard Specification for Classification of Coals by Rank, IBR approved for §§60.41, 60.45(f), 60.41Da, 60.41b, 60.41c, and 60.251.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(36) ASTM D388-98a, Standard Specification for Classification of Coals by Rank, IBR approved for §§60.41, 60.45(f), 60.41Da, 60.41b, 60.41c, and 60.251.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(37) ASTM D388-99 (Reapproved 2004)</w:t>
      </w:r>
      <w:r w:rsidRPr="006D1604">
        <w:rPr>
          <w:rFonts w:ascii="Times New Roman" w:eastAsia="Times New Roman" w:hAnsi="Times New Roman" w:cs="Times New Roman"/>
          <w:sz w:val="20"/>
          <w:szCs w:val="20"/>
          <w:vertAlign w:val="superscript"/>
        </w:rPr>
        <w:t>ε</w:t>
      </w:r>
      <w:r w:rsidRPr="006D1604">
        <w:rPr>
          <w:rFonts w:ascii="Times New Roman" w:eastAsia="Times New Roman" w:hAnsi="Times New Roman" w:cs="Times New Roman"/>
          <w:sz w:val="20"/>
          <w:szCs w:val="20"/>
        </w:rPr>
        <w:t>,</w:t>
      </w:r>
      <w:r w:rsidRPr="006D1604">
        <w:rPr>
          <w:rFonts w:ascii="Times New Roman" w:eastAsia="Times New Roman" w:hAnsi="Times New Roman" w:cs="Times New Roman"/>
          <w:sz w:val="20"/>
          <w:szCs w:val="20"/>
          <w:vertAlign w:val="superscript"/>
        </w:rPr>
        <w:t>1</w:t>
      </w:r>
      <w:r w:rsidRPr="006D1604">
        <w:rPr>
          <w:rFonts w:ascii="Times New Roman" w:eastAsia="Times New Roman" w:hAnsi="Times New Roman" w:cs="Times New Roman"/>
          <w:sz w:val="20"/>
          <w:szCs w:val="20"/>
        </w:rPr>
        <w:t xml:space="preserve"> Standard Specification for Classification of Coals by Rank, IBR approved for §§60.41, 60.45(f), 60.41Da, 60.41b, 60.41c, and 60.251.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(38) ASTM D396-78, Standard Specification for Fuel Oils, IBR approved for §§60.41b, 60.41c,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(39) ASTM D396-89, Standard Specification for Fuel Oils, IBR approved for §§60.41b, 60.41c,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(40) ASTM D396-90, Standard Specification for Fuel Oils, IBR approved for §§60.41b, 60.41c,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(41) ASTM D396-92, Standard Specification for Fuel Oils, IBR approved for §§60.41b, 60.41c,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(42) ASTM D396-98, Standard Specification for Fuel Oils, IBR approved for §§60.41b, 60.41c,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(43) ASTM D975-78, Standard Specification for Diesel Fuel Oils, IBR approved for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(44) ASTM D975-96, Standard Specification for Diesel Fuel Oils, IBR approved for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(45) ASTM D975-98a, Standard Specification for Diesel Fuel Oils, IBR approved for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(46) ASTM D975-08a, Standard Specification for Diesel Fuel Oils, IBR approved for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(47) ASTM D1072-80, Standard Test Method for Total Sulfur in Fuel Gases,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(48) ASTM D1072-90 (Reapproved 1994), Standard Test Method for Total Sulfur in Fuel Gases,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(49) ASTM D1072-90 (Reapproved 1999), Standard Test Method for Total Sulfur in Fuel Gases,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(50) ASTM D1137-53, Standard Method for Analysis of Natural Gases and Related Types of Gaseous Mixtures by the Mass Spectrometer,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(51) ASTM D1137-75, Standard Method for Analysis of Natural Gases and Related Types of Gaseous Mixtures by the Mass Spectrometer,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(54) ASTM D1266-87, Standard Test Method for Sulfur in Petroleum Products (Lamp Method), IBR approved for §§60.106(j)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(55) ASTM D1266-91, Standard Test Method for Sulfur in Petroleum Products (Lamp Method), IBR approved for §§60.106(j)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(56) ASTM D1266-98, Standard Test Method for Sulfur in Petroleum Products (Lamp Method), IBR approved for §§60.106(j)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(57) ASTM D1266-98 (Reapproved 2003)</w:t>
      </w:r>
      <w:r w:rsidRPr="006D1604">
        <w:rPr>
          <w:rFonts w:ascii="Times New Roman" w:eastAsia="Times New Roman" w:hAnsi="Times New Roman" w:cs="Times New Roman"/>
          <w:sz w:val="20"/>
          <w:szCs w:val="20"/>
          <w:vertAlign w:val="superscript"/>
        </w:rPr>
        <w:t>ε</w:t>
      </w:r>
      <w:r w:rsidRPr="006D1604">
        <w:rPr>
          <w:rFonts w:ascii="Times New Roman" w:eastAsia="Times New Roman" w:hAnsi="Times New Roman" w:cs="Times New Roman"/>
          <w:sz w:val="20"/>
          <w:szCs w:val="20"/>
        </w:rPr>
        <w:t>,</w:t>
      </w:r>
      <w:r w:rsidRPr="006D1604">
        <w:rPr>
          <w:rFonts w:ascii="Times New Roman" w:eastAsia="Times New Roman" w:hAnsi="Times New Roman" w:cs="Times New Roman"/>
          <w:sz w:val="20"/>
          <w:szCs w:val="20"/>
          <w:vertAlign w:val="superscript"/>
        </w:rPr>
        <w:t>1</w:t>
      </w:r>
      <w:r w:rsidRPr="006D1604">
        <w:rPr>
          <w:rFonts w:ascii="Times New Roman" w:eastAsia="Times New Roman" w:hAnsi="Times New Roman" w:cs="Times New Roman"/>
          <w:sz w:val="20"/>
          <w:szCs w:val="20"/>
        </w:rPr>
        <w:t xml:space="preserve"> Standard Test Method for Sulfur in Petroleum Products (Lamp Method),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(58) ASTM D1475-60 (Reapproved 1980), Standard Test Method for Density of Paint, Varnish Lacquer, and Related Products, IBR approved for §60.435(d), appendix A-8 to part 60: Method 24, Section 6.1; and Method 24A, Sections 6.5 and 7.1.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(59) ASTM D1475-90, Standard Test Method for Density of Paint, Varnish Lacquer, and Related Products, IBR approved for §60.435(d), appendix A-8 to part 60: Method 24, Section 6.1; and Method 24A, §§6.5 and 7.1.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 ASTM D1552-83, Standard Test Method for Sulfur in Petroleum Products (High-Temperature Method), IBR approved for §§60.106(j), 60.335(b),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(61) ASTM D1552-95, Standard Test Method for Sulfur in Petroleum Products (High-Temperature Method), IBR approved for §§60.106(j), 60.335(b),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(62) ASTM D1552-01, Standard Test Method for Sulfur in Petroleum Products (High-Temperature Method), IBR approved for §§60.106(j), 60.335(b),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(63) ASTM D1552-03, Standard Test Method for Sulfur in Petroleum Products (High-Temperature Method),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(64) ASTM D1826-77, Standard Test Method for Calorific Value of Gases in Natural Gas Range by Continuous Recording Calorimeter, IBR approved for §§60.45(f), 60.46(c), 60.296(b), and appendix A-7 to part 60: Method 19, Section 12.3.2.4.</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(65) ASTM D1826-94, Standard Test Method for Calorific Value of Gases in Natural Gas Range by Continuous Recording Calorimeter, IBR approved for §§60.45(f), 60.46(c), 60.296(b), and appendix A-7 to part 60: Method 19, Section 12.3.2.4.</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(66) ASTM D1826-94 (Reapproved 2003), Standard Test Method for Calorific (Heating) Value of Gases in Natural Gas Range by Continuous Recording Calorimeter, (Approved May 10, 2003),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(67) ASTM D1835-87, Standard Specification for Liquefied Petroleum (LP) Gases, IBR approved for §§60.41Da,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(68) ASTM D1835-91, Standard Specification for Liquefied Petroleum (LP) Gases, IBR approved for §§60.41Da,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(69) ASTM D1835-97, Standard Specification for Liquefied Petroleum (LP) Gases, IBR approved for §§60.41Da,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(70) ASTM D1835-03a, Standard Specification for Liquefied Petroleum (LP) Gases, IBR approved for §§60.41Da,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(71) ASTM D1945-64, Standard Method for Analysis of Natural Gas by Gas Chromatography,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(72) ASTM D1945-76, Standard Method for Analysis of Natural Gas by Gas Chromatography,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(73) ASTM D1945-91, Standard Method for Analysis of Natural Gas by Gas Chromatography,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(74) ASTM D1945-96, Standard Method for Analysis of Natural Gas by Gas Chromatography,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(75) ASTM D1945-03 (Reapproved 2010), Standard Method for Analysis of Natural Gas by Gas Chromatography, (Approved January 1, 2010), IBR approved for §§60.107a(d) and 60.5413(d).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(76) ASTM D1946-77, Standard Method for Analysis of Reformed Gas by Gas Chromatography, IBR approved for §§60.18(f), 60.45(f), 60.564(f), 60.614(e), 60.664(e), and 60.704(d).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(77) ASTM D1946-90 (Reapproved 1994), Standard Method for Analysis of Reformed Gas by Gas Chromatography, IBR approved for §§60.18(f), 60.45(f), 60.564(f), 60.614(e), 60.664(e), and 60.704(d).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(78) ASTM D1946-90 (Reapproved 2006), Standard Method for Analysis of Reformed Gas by Gas Chromatography, (Approved June 1, 2006),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(79) ASTM D2013-72, Standard Method of Preparing Coal Samples for Analysis,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(80) ASTM D2013-86, Standard Method of Preparing Coal Samples for Analysis,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(81) ASTM D2015-77 (Reapproved 1978), Standard Test Method for Gross Calorific Value of Solid Fuel by the Adiabatic Bomb Calorimeter, IBR approved for §§60.45(f), 60.46(c), and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(82) ASTM D2015-96, Standard Test Method for Gross Calorific Value of Solid Fuel by the Adiabatic Bomb Calorimeter, IBR approved for §§60.45(f), 60.46(c), and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(83) ASTM D2016-74, Standard Test Methods for Moisture Content of Wood, IBR approved for appendix A-8 to part 60: Method 28, Section 16.1.1.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(84) ASTM D2016-83, Standard Test Methods for Moisture Content of Wood, IBR approved for appendix A-8 to part 60: Method 28, Section 16.1.1.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(85) ASTM D2234-76, Standard Methods for Collection of a Gross Sample of Coal, IBR approved for appendix A-7 to part 60: Method 19, Section 12.5.2.1.1.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(86) ASTM D2234-96, Standard Methods for Collection of a Gross Sample of Coal, IBR approved for appendix A-7 to part 60: Method 19, Section 12.5.2.1.1.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(87) ASTM D2234-97b, Standard Methods for Collection of a Gross Sample of Coal, IBR approved for appendix A-7 to part 60: Method 19, Section 12.5.2.1.1.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(88) ASTM D2234-98, Standard Methods for Collection of a Gross Sample of Coal, IBR approved for appendix A-7 to part 60: Method 19, Section 12.5.2.1.1.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(89) ASTM D2369-81, Standard Test Method for Volatile Content of Coatings, IBR approved for appendix A-8 to part 60: Method 24, Section 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(90) ASTM D2369-87, Standard Test Method for Volatile Content of Coatings, IBR approved for appendix A-8 to part 60: Method 24, Section 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(91) ASTM D2369-90, Standard Test Method for Volatile Content of Coatings, IBR approved for appendix A-8 to part 60: Method 24, Section 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(92) ASTM D2369-92, Standard Test Method for Volatile Content of Coatings, IBR approved for appendix A-8 to part 60: Method 24, Section 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(93) ASTM D2369-93, Standard Test Method for Volatile Content of Coatings, IBR approved for appendix A-8 to part 60: Method 24, Section 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(94) ASTM D2369-95, Standard Test Method for Volatile Content of Coatings, IBR approved for appendix A-8 to part 60: Method 24, Section 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(95) ASTM D2382-76, Heat of Combustion of Hydrocarbon Fuels by Bomb Calorimeter (High-Precision Method), IBR approved for §§60.18(f), 60.485(g), 60.485a(g), 60.564(f), 60.614(e), 60.664(e), and 60.704(d).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(96) ASTM D2382-88, Heat of Combustion of Hydrocarbon Fuels by Bomb Calorimeter (High-Precision Method), IBR approved for §§60.18(f), 60.485(g), 60.485a(g), 60.564(f), 60.614(e), 60.664(e), and 60.704(d).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(97) ASTM D2504-67, Noncondensable Gases in C3 and Lighter Hydrocarbon Products by Gas Chromatography, IBR approved for §§60.485(g) and 60.485a(g).</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(98) ASTM D2504-77, Noncondensable Gases in C3 and Lighter Hydrocarbon Products by Gas Chromatography, IBR approved for §§60.485(g) and 60.485a(g).</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(99) ASTM D2504-88 (Reapproved 1993), Noncondensable Gases in C3 and Lighter Hydrocarbon Products by Gas Chromatography, IBR approved for §§60.485(g) and 60.485a(g).</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(100) ASTM D2584-68(Reapproved 1985), Standard Test Method for Ignition Loss of Cured Reinforced Resins, IBR approved for §60.685(c).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(101) ASTM D2584-94, Standard Test Method for Ignition Loss of Cured Reinforced Resins, IBR approved for §60.685(c).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(102) ASTM D2597-94 (Reapproved 1999), Standard Test Method for Analysis of Demethanized Hydrocarbon Liquid Mixtures Containing Nitrogen and Carbon Dioxide by Gas Chromatography,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(103) ASTM D2622-87, Standard Test Method for Sulfur in Petroleum Products by Wavelength Dispersive X-Ray Fluorescence Spectrometry, IBR approved for §§60.106(j)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(104) ASTM D2622-94, Standard Test Method for Sulfur in Petroleum Products by Wavelength Dispersive X-Ray Fluorescence Spectrometry, IBR approved for §§60.106(j)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(105) ASTM D2622-98, Standard Test Method for Sulfur in Petroleum Products by Wavelength Dispersive X-Ray Fluorescence Spectrometry, IBR approved for §§60.106(j)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(106) ASTM D2622-05, Standard Test Method for Sulfur in Petroleum Products by Wavelength Dispersive X-Ray Fluorescence Spectrometry,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(107) ASTM D2879-83Test Method for Vapor Pressure-Temperature Relationship and Initial Decomposition Temperature of Liquids by Isoteniscope, IBR approved for §§60.111b(f)(3), 60.116b(e), 60.116b(f), 60.485(e), and 60.485a(e).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(108) ASTM D2879-96, Test Method for Vapor Pressure-Temperature Relationship and Initial Decomposition Temperature of Liquids by Isoteniscope, IBR approved for §§60.111b(f)(3), 60.116b(e), 60.116b(f), 60.485(e), and 60.485a(e).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(109) ASTM D2879-97, Test Method for Vapor Pressure-Temperature Relationship and Initial Decomposition Temperature of Liquids by Isoteniscope, IBR approved for §§60.111b(f)(3), 60.116b(e), 60.116b(f), 60.485(e), and 60.485a(e).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(110) ASTM D2880-78, Standard Specification for Gas Turbine Fuel Oils, IBR approved for §§60.111(b), 60.111a(b), and 60.335(d).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(111) ASTM D2880-96, Standard Specification for Gas Turbine Fuel Oils, IBR approved for §§60.111(b), 60.111a(b), and 60.335(d).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(112) ASTM D2908-74, Standard Practice for Measuring Volatile Organic Matter in Water by Aqueous-Injection Gas Chromatography, IBR approved for §60.564(j).</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(113) ASTM D2908-91, Standard Practice for Measuring Volatile Organic Matter in Water by Aqueous-Injection Gas Chromatography, IBR approved for §60.564(j).</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(117) ASTM D3173-73, Standard Test Method for Moisture in the Analysis Sample of Coal and Coke,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(118) ASTM D3173-87, Standard Test Method for Moisture in the Analysis Sample of Coal and Coke,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(119) ASTM D3176-74, Standard Method for Ultimate Analysis of Coal and Coke, IBR approved for §60.45(f)(5)(i) and appendix A-7 to part 60: Method 19, Section 12.3.2.3.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(120) ASTM D3176-89, Standard Method for Ultimate Analysis of Coal and Coke, IBR approved for §60.45(f)(5)(i) and appendix A-7 to part 60: Method 19, Section 12.3.2.3.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(121) ASTM D3177-75, Standard Test Method for Total Sulfur in the Analysis Sample of Coal and Coke,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(122) ASTM D3177-89, Standard Test Method for Total Sulfur in the Analysis Sample of Coal and Coke,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(123) ASTM D3178-73 (Reapproved 1979), Standard Test Methods for Carbon and Hydrogen in the Analysis Sample of Coal and Coke,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(124) ASTM D3178-89, Standard Test Methods for Carbon and Hydrogen in the Analysis Sample of Coal and Coke,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(125) ASTM D3246-81, Standard Test Method for Sulfur in Petroleum Gas by Oxidative Microcoulometry,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(126) ASTM D3246-92, Standard Test Method for Sulfur in Petroleum Gas by Oxidative Microcoulometry,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(127) ASTM D3246-96, Standard Test Method for Sulfur in Petroleum Gas by Oxidative Microcoulometry,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(128) ASTM D3246-05, Standard Test Method for Sulfur in Petroleum Gas by Oxidative Microcoulometry, IBR approved for §60.4415(a)(1).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(129) ASTM D3270-73T, Standard Test Methods for Analysis for Fluoride Content of the Atmosphere and Plant Tissues (Semiautomated Method), IBR approved for appendix A-5 to part 60: Method 13A, Section 16.1.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(130) ASTM D3270-80, Standard Test Methods for Analysis for Fluoride Content of the Atmosphere and Plant Tissues (Semiautomated Method), IBR approved for appendix A-5 to part 60: Method 13A, Section 16.1.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(131) ASTM D3270-91, Standard Test Methods for Analysis for Fluoride Content of the Atmosphere and Plant Tissues (Semiautomated Method), IBR approved for appendix A-5 to part 60: Method 13A, Section 16.1.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(132) ASTM D3270-95, Standard Test Methods for Analysis for Fluoride Content of the Atmosphere and Plant Tissues (Semiautomated Method), IBR approved for appendix A-5 to part 60: Method 13A, Section 16.1.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(133) ASTM D3286-85, Standard Test Method for Gross Calorific Value of Coal and Coke by the Isoperibol Bomb Calorimeter,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(134) ASTM D3286-96, Standard Test Method for Gross Calorific Value of Coal and Coke by the Isoperibol Bomb Calorimeter,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(135) ASTM D3370-76, Standard Practices for Sampling Water, IBR approved for §60.564(j).</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(136) ASTM D3370-95a, Standard Practices for Sampling Water, IBR approved for §60.564(j).</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(137) ASTM D3588-98 (Reapproved 2003), Standard Practice for Calculating Heat Value, Compressibility Factor, and Relative Density of Gaseous Fuels, (Approved May 10, 2003), IBR approved for §§60.107a(d) and 60.5413(d).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(138) ASTM D3699-08, Standard Specification for Kerosine, including Appendix X1, (Approved September 1, 2008), IBR approved for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(139) ASTM D3792-79, Standard Test Method for Water Content of Water-Reducible Paints by Direct Injection into a Gas Chromatograph, IBR approved for appendix A-7 to part 60: Method 24, Section 6.3.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(140) ASTM D3792-91, Standard Test Method for Water Content of Water-Reducible Paints by Direct Injection into a Gas Chromatograph, IBR approved for appendix A-7 to part 60: Method 24, Section 6.3.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(141) ASTM D4017-81, Standard Test Method for Water in Paints and Paint Materials by the Karl Fischer Titration Method, IBR approved for appendix A-7 to part 60: Method 24, Section 6.4.</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(142) ASTM D4017-90, Standard Test Method for Water in Paints and Paint Materials by the Karl Fischer Titration Method, IBR approved for appendix A-7 to part 60: Method 24, Section 6.4.</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(143) ASTM D4017-96a, Standard Test Method for Water in Paints and Paint Materials by the Karl Fischer Titration Method, IBR approved for appendix A-7 to part 60: Method 24, Section 6.4.</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(144) ASTM D4057-81, Standard Practice for Manual Sampling of Petroleum and Petroleum Products, IBR approved for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(145) ASTM D4057-95, Standard Practice for Manual Sampling of Petroleum and Petroleum Products, IBR approved for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(146) ASTM D4057-95 (Reapproved 2000), Standard Practice for Manual Sampling of Petroleum and Petroleum Products,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(147) ASTM D4084-82, Standard Test Method for Analysis of Hydrogen Sulfide in Gaseous Fuels (Lead Acetate Reaction Rate Method), IBR approved for §60.334(h).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(148) ASTM D4084-94, Standard Test Method for Analysis of Hydrogen Sulfide in Gaseous Fuels (Lead Acetate Reaction Rate Method), IBR approved for §60.334(h).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(149) ASTM D4084-05, Standard Test Method for Analysis of Hydrogen Sulfide in Gaseous Fuels (Lead Acetate Reaction Rate Method), IBR approved for §§60.4360 and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(150) ASTM D4177-95, Standard Practice for Automatic Sampling of Petroleum and Petroleum Products, IBR approved for appendix A-7 to part 60: Method 19, Section 12.5.2.2.1.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(151) ASTM D4177-95 (Reapproved 2000), Standard Practice for Automatic Sampling of Petroleum and Petroleum Products,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(152) ASTM D4239-85, Standard Test Methods for Sulfur in the Analysis Sample of Coal and Coke Using High Temperature Tube Furnace Combustion Methods,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(153) ASTM D4239-94, Standard Test Methods for Sulfur in the Analysis Sample of Coal and Coke Using High Temperature Tube Furnace Combustion Methods,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(154) ASTM D4239-97, Standard Test Methods for Sulfur in the Analysis Sample of Coal and Coke Using High Temperature Tube Furnace Combustion Methods,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(155) ASTM D4294-02, Standard Test Method for Sulfur in Petroleum and Petroleum Products by Energy-Dispersive X-Ray Fluorescence Spectrometry,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(156) ASTM D4294-03, Standard Test Method for Sulfur in Petroleum and Petroleum Products by Energy-Dispersive X-Ray Fluorescence Spectrometry,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(157) ASTM D4442-84, Standard Test Methods for Direct Moisture Content Measurement in Wood and Wood-base Materials, IBR approved for appendix A-8 to part 60: Method 28, Section 16.1.1.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(158) ASTM D4442-92, Standard Test Methods for Direct Moisture Content Measurement in Wood and Wood-base Materials, IBR approved for appendix A-8 to part 60: Method 28, Section 16.1.1.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(159) ASTM D4444-92, Standard Test Methods for Use and Calibration of Hand-Held Moisture Meters, IBR approved for appendix A-8 to part 60: Method 28, Section 16.1.1.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(160) ASTM D4457-85 (Reapproved 1991), Test Method for Determination of Dichloromethane and 1,1,1-Trichloroethane in Paints and Coatings by Direct Injection into a Gas Chromatograph, IBR approved for appendix A-7 to part 60: Method 24, Section 6.5.</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(161) ASTM D4468-85 (Reapproved 2000), Standard Test Method for Total Sulfur in Gaseous Fuels by Hydrogenolysis and Rateometric Colorimetry, IBR approved for §§60.335(b) and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(162) ASTM D4468-85 (Reapproved 2006), Standard Test Method for Total Sulfur in Gaseous Fuels by Hydrogenolysis and Rateometric Colorimetry, (Approved June 1, 2006), IBR approved for §60.107a(e).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(163) ASTM D4629-02, Standard Test Method for Trace Nitrogen in Liquid Petroleum Hydrocarbons by Syringe/Inlet Oxidative Combustion and Chemiluminescence Detection, IBR approved for §§60.49b(e)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(164) ASTM D4809-95, Standard Test Method for Heat of Combustion of Liquid Hydrocarbon Fuels by Bomb Calorimeter (Precision Method), IBR approved for §§60.18(f), 60.485(g), 60.485a(g), 60.564(f), 60.614(d), 60.664(e), and 60.704(d).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(165) ASTM D4809-06, Standard Test Method for Heat of Combustion of Liquid Hydrocarbon Fuels by Bomb Calorimeter (Precision Method), (Approved December 1, 2006),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(166) ASTM D4810-88 (Reapproved 1999), Standard Test Method for Hydrogen Sulfide in Natural Gas Using Length of Stain Detector Tubes, IBR approved for §§60.4360 and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(167) ASTM D4891-89 (Reapproved 2006) Standard Test Method for Heating Value of Gases in Natural Gas Range by Stoichiometric Combustion, (Approved June 1, 2006), IBR approved for §§60.107a(d) and 60.5413(d).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(168) ASTM D5287-97 (Reapproved 2002), Standard Practice for Automatic Sampling of Gaseous Fuels,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(169) ASTM D5403-93, Standard Test Methods for Volatile Content of Radiation Curable Materials, IBR approved for appendix A-7 to part 60: Method 24, Section 6.6.</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(170) ASTM D5453-00, Standard Test Method for Determination of Total Sulfur in Light Hydrocarbons, Motor Fuels and Oils by Ultraviolet Fluorescence,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(171) ASTM D5453-05, Standard Test Method for Determination of Total Sulfur in Light Hydrocarbons, Motor Fuels and Oils by Ultraviolet Fluorescence,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(172) ASTM D5504-01, Standard Test Method for Determination of Sulfur Compounds in Natural Gas and Gaseous Fuels by Gas Chromatography and Chemiluminescence, IBR approved for §§60.334(h) and 60.4360.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(173) ASTM D5504-08, Standard Test Method for Determination of Sulfur Compounds in Natural Gas and Gaseous Fuels by Gas Chromatography and Chemiluminescence, (Approved June 15, 2008), IBR approved for §§60.107a(e) and 60.5413(d).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(174) ASTM D5762-02, Standard Test Method for Nitrogen in Petroleum and Petroleum Products by Boat-Inlet Chemiluminescence,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(175) ASTM D5865-98, Standard Test Method for Gross Calorific Value of Coal and Coke, IBR approved for §§60.45(f) and 60.46(c), and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(176) ASTM D5865-10, Standard Test Method for Gross Calorific Value of Coal and Coke, (Approved January 1, 2010), IBR approved for §§60.45(f), 60.46(c), and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(177) ASTM D6216-98, Standard Practice for Opacity Monitor Manufacturers to Certify Conformance with Design and Performance Specifications, IBR approved for appendix B to part 60: Performance Specification 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(178) ASTM D6228-98, Standard Test Method for Determination of Sulfur Compounds in Natural Gas and Gaseous Fuels by Gas Chromatography and Flame Photometric Detection, IBR approved for §60.334(h).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(179) ASTM D6228-98 (Reapproved 2003), Standard Test Method for Determination of Sulfur Compounds in Natural Gas and Gaseous Fuels by Gas Chromatography and Flame Photometric Detection, IBR approved for §§60.4360 and 60.4415.</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(180) ASTM D6348-03, Standard Test Method for Determination of Gaseous Compounds by Extractive Direct Interface Fourier Transform Infrared (FTIR) Spectroscopy, (Approved October 1, 2003), IBR approved for §60.73a(b), table 7 to subpart IIII, and table 2 to subpart JJJJ.</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(181) ASTM D6366-99, Standard Test Method for Total Trace Nitrogen and Its Derivatives in Liquid Aromatic Hydrocarbons by Oxidative Combustion and Electrochemical Detection, IBR approved for §60.335(b)(9).</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(182) ASTM D6420-99 (Reapproved 2004), Standard Test Method for Determination of Gaseous Organic Compounds by Direct Interface Gas Chromatography-Mass Spectrometry, (Approved October 1, 2004), IBR approved for §60.107a(d) and table 2 to subpart JJJJ.</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and §§60.5413(b) and (d).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(185) ASTM D6667-01, Standard Test Method for Determination of Total Volatile Sulfur in Gaseous Hydrocarbons and Liquefied Petroleum Gases by Ultraviolet Fluorescence,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(186) ASTM D6667-04, Standard Test Method for Determination of Total Volatile Sulfur in Gaseous Hydrocarbons and Liquefied Petroleum Gases by Ultraviolet Fluorescence,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(187) ASTM D6751-11b, Standard Specification for Biodiesel Fuel Blend Stock (B100) for Middle Distillate Fuels, including Appendices X1 through X3, (Approved July 15, 2011), IBR approved for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(190) ASTM D7467-10, Standard Specification for Diesel Fuel Oil, Biodiesel Blend (B6 to B20), including Appendices X1 through X3, (Approved August 1, 2010), IBR approved for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(191) ASTM E168-67, General Techniques of Infrared Quantitative Analysis, IBR approved for §§60.485a(d), 60.593(b), 60.593a(b), and 60.632(f).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(192) ASTM E168-77, General Techniques of Infrared Quantitative Analysis, IBR approved for §§60.485a(d), 60.593(b), 60.593a(b), and 60.632(f).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(193) ASTM E168-92, General Techniques of Infrared Quantitative Analysis, IBR approved for §§60.485a(d)(1), 60.593(b)(2), 60.593a(b)(2), 60.632(f), and 60.5400.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(194) ASTM E169-63, General Techniques of Ultraviolet Quantitative Analysis, IBR approved for §§60.485a(d), 60.593(b), 60.593a(b), and 60.632(f)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(195) ASTM E169-77, General Techniques of Ultraviolet Quantitative Analysis, IBR approved for §§60.485a(d), 60.593(b), and 60.593a(b), 60.632(f).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(196) ASTM E169-93, General Techniques of Ultraviolet Quantitative Analysis, (Approved May 15, 1993), IBR approved for §§60.485a(d), 60.593(b), 60.593a(b), 60.632(f), and 60.5400(f).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(197) ASTM E260-73, General Gas Chromatography Procedures, IBR approved for §§60.485a(d), 60.593(b), 60.593a(b), and 60.632(f).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(198) ASTM E260-91, General Gas Chromatography Procedures, (IBR approved for §§60.485a(d), 60.593(b), 60.593a(b), and 60.632(f).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(199) ASTM E260-96, General Gas Chromatography Procedures, (Approved April 10, 1996), IBR approved for §§60.485a(d), 60.593(b), 60.593a(b), 60.632(f), 60.5400(f), and 60.5406(b).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(200) ASTM E1584-11, Standard Test Method for Assay of Nitric Acid, (Approved August 1, 2011), IBR approved for §60.73a(c).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(201) ASTM UOP539-97, Refinery Gas Analysis by Gas Chromatography, (Copyright 1997),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 Association of Official Analytical Chemists, 1111 North 19th Street, Suite 210, Arlington, VA 22209.</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AOAC Method 9, Official Methods of Analysis of the Association of Official Analytical Chemists (AOAC), 11th edition, 1970, pp. 11-12, IBR approved for §§60.204(b), 60.214(b), 60.224(b), and 60.234(b).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 U.S. Environmental Protection Agency, 1200 Pennsylvania Avenue NW., Washington, DC 20460, (202) 272-0167, </w:t>
      </w:r>
      <w:r w:rsidRPr="006D1604">
        <w:rPr>
          <w:rFonts w:ascii="Times New Roman" w:eastAsia="Times New Roman" w:hAnsi="Times New Roman" w:cs="Times New Roman"/>
          <w:i/>
          <w:iCs/>
          <w:sz w:val="20"/>
          <w:szCs w:val="20"/>
        </w:rPr>
        <w:t>http://www.epa.gov</w:t>
      </w:r>
      <w:r w:rsidRPr="006D1604">
        <w:rPr>
          <w:rFonts w:ascii="Times New Roman" w:eastAsia="Times New Roman" w:hAnsi="Times New Roman" w:cs="Times New Roman"/>
          <w:sz w:val="20"/>
          <w:szCs w:val="20"/>
        </w:rPr>
        <w: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EPA-454/R-98-015, Office of Air Quality Planning and Standards (OAQPS) Fabric Filter Bag Leak Detection Guidance, September 1997, IBR approved for §§60.2145(r), 60.2710(r), 60.4905(b), and 60.5225(b).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(j)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Gas Processors Association Standard 2172-09, Calculation of Gross Heating Value, Relative Density, Compressibility and Theoretical Hydrocarbon Liquid Content for Natural Gas Mixtures for Custody Transfer (2009),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Gas Processors Association Standard 2261-00, Analysis for Natural Gas and Similar Gaseous Mixtures by Gas Chromatography (2000),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Gas Processors Association Standard 2377-86, Test for Hydrogen Sulfide and Carbon Dioxide in Natural Gas Using Length of Stain Tubes, 1986 Revision, IBR approved for §§60.105(b), 60.107a(b), 60.334(h), 60.4360, and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 International Organization for Standardization (ISO) available through IHS Inc., 15 Inverness Way East, Englewood, CO 80112.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ISO 8178-4: 1996(E), Reciprocating Internal Combustion Engines—Exhaust Emission Measurement—part 4: Test Cycles for Different Engine Applications, IBR approved for §60.4241(b).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(l) International Organization for Standardization (ISO), 1, ch. de la Voie-Creuse, Case postale 56, CH-1211 Geneva 20, Switzerland, +41 22 749 01 11, </w:t>
      </w:r>
      <w:r w:rsidRPr="006D1604">
        <w:rPr>
          <w:rFonts w:ascii="Times New Roman" w:eastAsia="Times New Roman" w:hAnsi="Times New Roman" w:cs="Times New Roman"/>
          <w:i/>
          <w:iCs/>
          <w:sz w:val="20"/>
          <w:szCs w:val="20"/>
        </w:rPr>
        <w:t>http://www.iso.org/iso/home.htm</w:t>
      </w:r>
      <w:r w:rsidRPr="006D1604">
        <w:rPr>
          <w:rFonts w:ascii="Times New Roman" w:eastAsia="Times New Roman" w:hAnsi="Times New Roman" w:cs="Times New Roman"/>
          <w:sz w:val="20"/>
          <w:szCs w:val="20"/>
        </w:rPr>
        <w: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ISO 8316: Measurement of Liquid Flow in Closed Conduits—Method by Collection of the Liquid in a Volumetric Tank (1987-10-01)—First Edition,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OMB Bulletin No. 93-17: Revised Statistical Definitions for Metropolitan Areas. Office of Management and Budget, June 30, 1993. NTIS No. PB 93-192-664. IBR approved for §60.31e.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(n) North American Electric Reliability Corporation, 1325 G Street NW., Suite 600, Washington, DC 20005-3801, </w:t>
      </w:r>
      <w:r w:rsidRPr="006D1604">
        <w:rPr>
          <w:rFonts w:ascii="Times New Roman" w:eastAsia="Times New Roman" w:hAnsi="Times New Roman" w:cs="Times New Roman"/>
          <w:i/>
          <w:iCs/>
          <w:sz w:val="20"/>
          <w:szCs w:val="20"/>
        </w:rPr>
        <w:t>http://www.nerc.com</w:t>
      </w:r>
      <w:r w:rsidRPr="006D1604">
        <w:rPr>
          <w:rFonts w:ascii="Times New Roman" w:eastAsia="Times New Roman" w:hAnsi="Times New Roman" w:cs="Times New Roman"/>
          <w:sz w:val="20"/>
          <w:szCs w:val="20"/>
        </w:rPr>
        <w: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North American Electric Reliability Corporation Reliability Standard EOP-002-3, Capacity and Energy Emergencies, updated November 19, 2012, IBR approved for §§60.4211(f) and 60.4243(d). Also available online: </w:t>
      </w:r>
      <w:r w:rsidRPr="006D1604">
        <w:rPr>
          <w:rFonts w:ascii="Times New Roman" w:eastAsia="Times New Roman" w:hAnsi="Times New Roman" w:cs="Times New Roman"/>
          <w:i/>
          <w:iCs/>
          <w:sz w:val="20"/>
          <w:szCs w:val="20"/>
        </w:rPr>
        <w:t>http://www.nerc.com/files/EOP-002-3_1.pdf</w:t>
      </w:r>
      <w:r w:rsidRPr="006D1604">
        <w:rPr>
          <w:rFonts w:ascii="Times New Roman" w:eastAsia="Times New Roman" w:hAnsi="Times New Roman" w:cs="Times New Roman"/>
          <w:sz w:val="20"/>
          <w:szCs w:val="20"/>
        </w:rPr>
        <w: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(o) The following material is available for purchase from the Technical Association of the Pulp and Paper Industry (TAPPI), 15 Technology Parkway South, Suite 115, Peachtree Corners, GA 30092, Telephone (800) 332-8686, and is also available at the following Web site: </w:t>
      </w:r>
      <w:r w:rsidRPr="006D1604">
        <w:rPr>
          <w:rFonts w:ascii="Times New Roman" w:eastAsia="Times New Roman" w:hAnsi="Times New Roman" w:cs="Times New Roman"/>
          <w:i/>
          <w:iCs/>
          <w:sz w:val="20"/>
          <w:szCs w:val="20"/>
        </w:rPr>
        <w:t>http://www.tappi.org.</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TAPPI Method T 624 cm-11, (Copyright 2011), IBR approved, for §§60.285(d) and 60.285a(d).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 Underwriter's Laboratories, Inc. (UL), 333 Pfingsten Road, Northbrook, IL 60062.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UL 103, Sixth Edition revised as of September 3, 1986, Standard for Chimneys, Factory-built, Residential Type and Building Heating Appliance, IBR approved for Appendix A-8 to part 60.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(q) Water Pollution Control Federation (WPCF), 2626 Pennsylvania Avenue NW., Washington, DC 20037.</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Method 209A, Total Residue Dried at 103-105 °C, in Standard Methods for the Examination of Water and Wastewater, 15th Edition, 1980, IBR approved for §60.683(b).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(r) West Coast Lumber Inspection Bureau, 6980 SW. Barnes Road, Portland, OR 97223.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West Coast Lumber Standard Grading Rules No. 16, pages 5-21, 90 and 91, September 3, 1970, revised 1984, IBR approved for Appendix A-8 to part 60.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[79 FR 11242, Feb. 27, 2014, as amended at 79 FR 18965, Apr. 4, 2014]</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9" w:name="40:7.0.1.1.1.1.151.18"/>
      <w:bookmarkEnd w:id="19"/>
      <w:r w:rsidRPr="006D1604">
        <w:rPr>
          <w:rFonts w:ascii="Times New Roman" w:eastAsia="Times New Roman" w:hAnsi="Times New Roman" w:cs="Times New Roman"/>
          <w:b/>
          <w:bCs/>
          <w:sz w:val="20"/>
          <w:szCs w:val="20"/>
        </w:rPr>
        <w:t>§60.18   General control device and work practice requirements.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w:t>
      </w:r>
      <w:r w:rsidRPr="006D1604">
        <w:rPr>
          <w:rFonts w:ascii="Times New Roman" w:eastAsia="Times New Roman" w:hAnsi="Times New Roman" w:cs="Times New Roman"/>
          <w:i/>
          <w:iCs/>
          <w:sz w:val="20"/>
          <w:szCs w:val="20"/>
        </w:rPr>
        <w:t>Introduction.</w:t>
      </w:r>
      <w:r w:rsidRPr="006D1604">
        <w:rPr>
          <w:rFonts w:ascii="Times New Roman" w:eastAsia="Times New Roman" w:hAnsi="Times New Roman" w:cs="Times New Roman"/>
          <w:sz w:val="20"/>
          <w:szCs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w:t>
      </w:r>
      <w:r w:rsidRPr="006D1604">
        <w:rPr>
          <w:rFonts w:ascii="Times New Roman" w:eastAsia="Times New Roman" w:hAnsi="Times New Roman" w:cs="Times New Roman"/>
          <w:i/>
          <w:iCs/>
          <w:sz w:val="20"/>
          <w:szCs w:val="20"/>
        </w:rPr>
        <w:t>Flares.</w:t>
      </w:r>
      <w:r w:rsidRPr="006D1604">
        <w:rPr>
          <w:rFonts w:ascii="Times New Roman" w:eastAsia="Times New Roman" w:hAnsi="Times New Roman" w:cs="Times New Roman"/>
          <w:sz w:val="20"/>
          <w:szCs w:val="20"/>
        </w:rPr>
        <w:t xml:space="preserve"> Paragraphs (c) through (f) apply to flares.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(c)(1) Flares shall be designed for and operated with no visible emissions as determined by the methods specified in paragraph (f), except for periods not to exceed a total of 5 minutes during any 2 consecutive hours.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Flares shall be operated with a flame present at all times, as determined by the methods specified in paragraph (f).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as determined by the following equation:</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xml:space="preserve"> = (X</w:t>
      </w:r>
      <w:r w:rsidRPr="006D1604">
        <w:rPr>
          <w:rFonts w:ascii="Times New Roman" w:eastAsia="Times New Roman" w:hAnsi="Times New Roman" w:cs="Times New Roman"/>
          <w:sz w:val="20"/>
          <w:szCs w:val="20"/>
          <w:vertAlign w:val="subscript"/>
        </w:rPr>
        <w:t>H2</w:t>
      </w:r>
      <w:r w:rsidRPr="006D1604">
        <w:rPr>
          <w:rFonts w:ascii="Times New Roman" w:eastAsia="Times New Roman" w:hAnsi="Times New Roman" w:cs="Times New Roman"/>
          <w:sz w:val="20"/>
          <w:szCs w:val="20"/>
        </w:rPr>
        <w:t>−K</w:t>
      </w:r>
      <w:r w:rsidRPr="006D1604">
        <w:rPr>
          <w:rFonts w:ascii="Times New Roman" w:eastAsia="Times New Roman" w:hAnsi="Times New Roman" w:cs="Times New Roman"/>
          <w:sz w:val="20"/>
          <w:szCs w:val="20"/>
          <w:vertAlign w:val="subscript"/>
        </w:rPr>
        <w:t>1</w:t>
      </w:r>
      <w:r w:rsidRPr="006D1604">
        <w:rPr>
          <w:rFonts w:ascii="Times New Roman" w:eastAsia="Times New Roman" w:hAnsi="Times New Roman" w:cs="Times New Roman"/>
          <w:sz w:val="20"/>
          <w:szCs w:val="20"/>
        </w:rPr>
        <w:t>)* K</w:t>
      </w:r>
      <w:r w:rsidRPr="006D1604">
        <w:rPr>
          <w:rFonts w:ascii="Times New Roman" w:eastAsia="Times New Roman" w:hAnsi="Times New Roman" w:cs="Times New Roman"/>
          <w:sz w:val="20"/>
          <w:szCs w:val="20"/>
          <w:vertAlign w:val="subscript"/>
        </w:rPr>
        <w:t>2</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Where:</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xml:space="preserve"> = Maximum permitted velocity, m/sec.</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w:t>
      </w:r>
      <w:r w:rsidRPr="006D1604">
        <w:rPr>
          <w:rFonts w:ascii="Times New Roman" w:eastAsia="Times New Roman" w:hAnsi="Times New Roman" w:cs="Times New Roman"/>
          <w:sz w:val="20"/>
          <w:szCs w:val="20"/>
          <w:vertAlign w:val="subscript"/>
        </w:rPr>
        <w:t>1</w:t>
      </w:r>
      <w:r w:rsidRPr="006D1604">
        <w:rPr>
          <w:rFonts w:ascii="Times New Roman" w:eastAsia="Times New Roman" w:hAnsi="Times New Roman" w:cs="Times New Roman"/>
          <w:sz w:val="20"/>
          <w:szCs w:val="20"/>
        </w:rPr>
        <w:t xml:space="preserve"> = Constant, 6.0 volume-percent hydrogen.</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 xml:space="preserve"> = Constant, 3.9(m/sec)/volume-percent hydrogen.</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X</w:t>
      </w:r>
      <w:r w:rsidRPr="006D1604">
        <w:rPr>
          <w:rFonts w:ascii="Times New Roman" w:eastAsia="Times New Roman" w:hAnsi="Times New Roman" w:cs="Times New Roman"/>
          <w:sz w:val="20"/>
          <w:szCs w:val="20"/>
          <w:vertAlign w:val="subscript"/>
        </w:rPr>
        <w:t>H2</w:t>
      </w:r>
      <w:r w:rsidRPr="006D1604">
        <w:rPr>
          <w:rFonts w:ascii="Times New Roman" w:eastAsia="Times New Roman" w:hAnsi="Times New Roman" w:cs="Times New Roman"/>
          <w:sz w:val="20"/>
          <w:szCs w:val="20"/>
        </w:rPr>
        <w:t xml:space="preserve"> = The volume-percent of hydrogen, on a wet basis, as calculated by using the American Society for Testing and Materials (ASTM) Method D1946-77. (Incorporated by reference as specified in §60.17).</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The actual exit velocity of a flare shall be determined by the method specified in paragraph (f)(4)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Steam-assisted and nonassisted flares designed for and operated with an exit velocity, as determined by the methods specified in paragraph (f)(4), less than the velocity, 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as determined by the method specified in paragraph (f)(5), and less than 122 m/sec (400 ft/sec) are allowed.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 Air-assisted flares shall be designed and operated with an exit velocity less than the velocity, 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as determined by the method specified in paragraph (f)(6).</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 Flares used to comply with this section shall be steam-assisted, air-assisted, or nonassisted.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 Flares used to comply with provisions of this subpart shall be operated at all times when emissions may be vented to them.</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(f)(1) Method 22 of appendix A to this part shall be used to determine the compliance of flares with the visible emission provisions of this subpart. The observation period is 2 hours and shall be used according to Method 22.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The presence of a flare pilot flame shall be monitored using a thermocouple or any other equivalent device to detect the presence of a flame.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The net heating value of the gas being combusted in a flare shall be calculated using the following equation:</w:t>
      </w:r>
    </w:p>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noProof/>
          <w:sz w:val="20"/>
          <w:szCs w:val="20"/>
        </w:rPr>
        <w:drawing>
          <wp:inline distT="0" distB="0" distL="0" distR="0" wp14:anchorId="0F33AC09" wp14:editId="0A0E3697">
            <wp:extent cx="1090295" cy="293370"/>
            <wp:effectExtent l="0" t="0" r="0" b="0"/>
            <wp:docPr id="19" name="Picture 19"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c01jn92.008.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0295" cy="293370"/>
                    </a:xfrm>
                    <a:prstGeom prst="rect">
                      <a:avLst/>
                    </a:prstGeom>
                    <a:noFill/>
                    <a:ln>
                      <a:noFill/>
                    </a:ln>
                  </pic:spPr>
                </pic:pic>
              </a:graphicData>
            </a:graphic>
          </wp:inline>
        </w:drawing>
      </w:r>
    </w:p>
    <w:p w:rsidR="00B26481" w:rsidRPr="006D1604" w:rsidRDefault="00C03602" w:rsidP="006D1604">
      <w:pPr>
        <w:spacing w:before="100" w:beforeAutospacing="1" w:after="100" w:afterAutospacing="1" w:line="240" w:lineRule="auto"/>
        <w:ind w:firstLine="480"/>
        <w:rPr>
          <w:rFonts w:ascii="Times New Roman" w:eastAsia="Times New Roman" w:hAnsi="Times New Roman" w:cs="Times New Roman"/>
          <w:sz w:val="20"/>
          <w:szCs w:val="20"/>
        </w:rPr>
      </w:pPr>
      <w:hyperlink r:id="rId7" w:history="1">
        <w:r w:rsidR="00B26481" w:rsidRPr="006D1604">
          <w:rPr>
            <w:rFonts w:ascii="Times New Roman" w:eastAsia="Times New Roman" w:hAnsi="Times New Roman" w:cs="Times New Roman"/>
            <w:color w:val="0000FF"/>
            <w:sz w:val="20"/>
            <w:szCs w:val="20"/>
          </w:rPr>
          <w:t>View or download PDF</w:t>
        </w:r>
      </w:hyperlink>
      <w:r w:rsidR="00B26481" w:rsidRPr="006D1604">
        <w:rPr>
          <w:rFonts w:ascii="Times New Roman" w:eastAsia="Times New Roman" w:hAnsi="Times New Roman" w:cs="Times New Roman"/>
          <w:sz w:val="20"/>
          <w:szCs w:val="20"/>
        </w:rPr>
        <w:t xml:space="preserve">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where:</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T</w:t>
      </w:r>
      <w:r w:rsidRPr="006D1604">
        <w:rPr>
          <w:rFonts w:ascii="Times New Roman" w:eastAsia="Times New Roman" w:hAnsi="Times New Roman" w:cs="Times New Roman"/>
          <w:sz w:val="20"/>
          <w:szCs w:val="20"/>
        </w:rPr>
        <w:t xml:space="preserve"> = Net heating value of the sample, MJ/scm; where the net enthalpy per mole of offgas is based on combustion at 25 °C and 760 mm Hg, but the standard temperature for determining the volume corresponding to one mole is 20 °C;</w:t>
      </w:r>
    </w:p>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noProof/>
          <w:sz w:val="20"/>
          <w:szCs w:val="20"/>
        </w:rPr>
        <w:drawing>
          <wp:inline distT="0" distB="0" distL="0" distR="0" wp14:anchorId="4C5B9410" wp14:editId="4F57C0F0">
            <wp:extent cx="3380740" cy="579120"/>
            <wp:effectExtent l="0" t="0" r="0" b="0"/>
            <wp:docPr id="20" name="Picture 20"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c01jn92.009.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0740" cy="579120"/>
                    </a:xfrm>
                    <a:prstGeom prst="rect">
                      <a:avLst/>
                    </a:prstGeom>
                    <a:noFill/>
                    <a:ln>
                      <a:noFill/>
                    </a:ln>
                  </pic:spPr>
                </pic:pic>
              </a:graphicData>
            </a:graphic>
          </wp:inline>
        </w:drawing>
      </w:r>
    </w:p>
    <w:p w:rsidR="00B26481" w:rsidRPr="006D1604" w:rsidRDefault="00C03602" w:rsidP="006D1604">
      <w:pPr>
        <w:spacing w:before="100" w:beforeAutospacing="1" w:after="100" w:afterAutospacing="1" w:line="240" w:lineRule="auto"/>
        <w:ind w:firstLine="480"/>
        <w:rPr>
          <w:rFonts w:ascii="Times New Roman" w:eastAsia="Times New Roman" w:hAnsi="Times New Roman" w:cs="Times New Roman"/>
          <w:sz w:val="20"/>
          <w:szCs w:val="20"/>
        </w:rPr>
      </w:pPr>
      <w:hyperlink r:id="rId9" w:history="1">
        <w:r w:rsidR="00B26481" w:rsidRPr="006D1604">
          <w:rPr>
            <w:rFonts w:ascii="Times New Roman" w:eastAsia="Times New Roman" w:hAnsi="Times New Roman" w:cs="Times New Roman"/>
            <w:color w:val="0000FF"/>
            <w:sz w:val="20"/>
            <w:szCs w:val="20"/>
          </w:rPr>
          <w:t>View or download PDF</w:t>
        </w:r>
      </w:hyperlink>
      <w:r w:rsidR="00B26481" w:rsidRPr="006D1604">
        <w:rPr>
          <w:rFonts w:ascii="Times New Roman" w:eastAsia="Times New Roman" w:hAnsi="Times New Roman" w:cs="Times New Roman"/>
          <w:sz w:val="20"/>
          <w:szCs w:val="20"/>
        </w:rPr>
        <w:t xml:space="preserve"> </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w:t>
      </w:r>
      <w:r w:rsidRPr="006D1604">
        <w:rPr>
          <w:rFonts w:ascii="Times New Roman" w:eastAsia="Times New Roman" w:hAnsi="Times New Roman" w:cs="Times New Roman"/>
          <w:sz w:val="20"/>
          <w:szCs w:val="20"/>
          <w:vertAlign w:val="subscript"/>
        </w:rPr>
        <w:t>i</w:t>
      </w:r>
      <w:r w:rsidRPr="006D1604">
        <w:rPr>
          <w:rFonts w:ascii="Times New Roman" w:eastAsia="Times New Roman" w:hAnsi="Times New Roman" w:cs="Times New Roman"/>
          <w:sz w:val="20"/>
          <w:szCs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i</w:t>
      </w:r>
      <w:r w:rsidRPr="006D1604">
        <w:rPr>
          <w:rFonts w:ascii="Times New Roman" w:eastAsia="Times New Roman" w:hAnsi="Times New Roman" w:cs="Times New Roman"/>
          <w:sz w:val="20"/>
          <w:szCs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 The maximum permitted velocity, 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for flares complying with paragraph (c)(4)(iii) shall be determined by the following equation.</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Log</w:t>
      </w:r>
      <w:r w:rsidRPr="006D1604">
        <w:rPr>
          <w:rFonts w:ascii="Times New Roman" w:eastAsia="Times New Roman" w:hAnsi="Times New Roman" w:cs="Times New Roman"/>
          <w:sz w:val="20"/>
          <w:szCs w:val="20"/>
          <w:vertAlign w:val="subscript"/>
        </w:rPr>
        <w:t>10</w:t>
      </w:r>
      <w:r w:rsidRPr="006D1604">
        <w:rPr>
          <w:rFonts w:ascii="Times New Roman" w:eastAsia="Times New Roman" w:hAnsi="Times New Roman" w:cs="Times New Roman"/>
          <w:sz w:val="20"/>
          <w:szCs w:val="20"/>
        </w:rPr>
        <w:t xml:space="preserve"> (V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T</w:t>
      </w:r>
      <w:r w:rsidRPr="006D1604">
        <w:rPr>
          <w:rFonts w:ascii="Times New Roman" w:eastAsia="Times New Roman" w:hAnsi="Times New Roman" w:cs="Times New Roman"/>
          <w:sz w:val="20"/>
          <w:szCs w:val="20"/>
        </w:rPr>
        <w:t>+28.8)/31.7</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xml:space="preserve"> = Maximum permitted velocity, M/sec</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28.8=Constant</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31.7=Constant</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T</w:t>
      </w:r>
      <w:r w:rsidRPr="006D1604">
        <w:rPr>
          <w:rFonts w:ascii="Times New Roman" w:eastAsia="Times New Roman" w:hAnsi="Times New Roman" w:cs="Times New Roman"/>
          <w:sz w:val="20"/>
          <w:szCs w:val="20"/>
        </w:rPr>
        <w:t xml:space="preserve"> = The net heating value as determined in paragraph (f)(3).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 The maximum permitted velocity, 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for air-assisted flares shall be determined by the following equation.</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xml:space="preserve"> = 8.706+0.7084 (H</w:t>
      </w:r>
      <w:r w:rsidRPr="006D1604">
        <w:rPr>
          <w:rFonts w:ascii="Times New Roman" w:eastAsia="Times New Roman" w:hAnsi="Times New Roman" w:cs="Times New Roman"/>
          <w:sz w:val="20"/>
          <w:szCs w:val="20"/>
          <w:vertAlign w:val="subscript"/>
        </w:rPr>
        <w:t>T</w:t>
      </w:r>
      <w:r w:rsidRPr="006D1604">
        <w:rPr>
          <w:rFonts w:ascii="Times New Roman" w:eastAsia="Times New Roman" w:hAnsi="Times New Roman" w:cs="Times New Roman"/>
          <w:sz w:val="20"/>
          <w:szCs w:val="20"/>
        </w:rPr>
        <w:t>)</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xml:space="preserve"> = Maximum permitted velocity, m/sec</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8.706=Constant</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0.7084=Constant</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T</w:t>
      </w:r>
      <w:r w:rsidRPr="006D1604">
        <w:rPr>
          <w:rFonts w:ascii="Times New Roman" w:eastAsia="Times New Roman" w:hAnsi="Times New Roman" w:cs="Times New Roman"/>
          <w:sz w:val="20"/>
          <w:szCs w:val="20"/>
        </w:rPr>
        <w:t xml:space="preserve"> = The net heating value as determined in paragraph (f)(3).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(g) </w:t>
      </w:r>
      <w:r w:rsidRPr="006D1604">
        <w:rPr>
          <w:rFonts w:ascii="Times New Roman" w:eastAsia="Times New Roman" w:hAnsi="Times New Roman" w:cs="Times New Roman"/>
          <w:i/>
          <w:iCs/>
          <w:sz w:val="20"/>
          <w:szCs w:val="20"/>
        </w:rPr>
        <w:t>Alternative work practice for monitoring equipment for leaks.</w:t>
      </w:r>
      <w:r w:rsidRPr="006D1604">
        <w:rPr>
          <w:rFonts w:ascii="Times New Roman" w:eastAsia="Times New Roman" w:hAnsi="Times New Roman" w:cs="Times New Roman"/>
          <w:sz w:val="20"/>
          <w:szCs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w:t>
      </w:r>
      <w:r w:rsidRPr="006D1604">
        <w:rPr>
          <w:rFonts w:ascii="Times New Roman" w:eastAsia="Times New Roman" w:hAnsi="Times New Roman" w:cs="Times New Roman"/>
          <w:i/>
          <w:iCs/>
          <w:sz w:val="20"/>
          <w:szCs w:val="20"/>
        </w:rPr>
        <w:t>Applicable subpart</w:t>
      </w:r>
      <w:r w:rsidRPr="006D1604">
        <w:rPr>
          <w:rFonts w:ascii="Times New Roman" w:eastAsia="Times New Roman" w:hAnsi="Times New Roman" w:cs="Times New Roman"/>
          <w:sz w:val="20"/>
          <w:szCs w:val="20"/>
        </w:rPr>
        <w:t xml:space="preserve"> means the subpart in 40 CFR parts 60, 61, 63, or 65 that requires monitoring of equipment with a 40 CFR part 60, Appendix A-7, Method 21 monitor.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w:t>
      </w:r>
      <w:r w:rsidRPr="006D1604">
        <w:rPr>
          <w:rFonts w:ascii="Times New Roman" w:eastAsia="Times New Roman" w:hAnsi="Times New Roman" w:cs="Times New Roman"/>
          <w:i/>
          <w:iCs/>
          <w:sz w:val="20"/>
          <w:szCs w:val="20"/>
        </w:rPr>
        <w:t>Equipment</w:t>
      </w:r>
      <w:r w:rsidRPr="006D1604">
        <w:rPr>
          <w:rFonts w:ascii="Times New Roman" w:eastAsia="Times New Roman" w:hAnsi="Times New Roman" w:cs="Times New Roman"/>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w:t>
      </w:r>
      <w:r w:rsidRPr="006D1604">
        <w:rPr>
          <w:rFonts w:ascii="Times New Roman" w:eastAsia="Times New Roman" w:hAnsi="Times New Roman" w:cs="Times New Roman"/>
          <w:i/>
          <w:iCs/>
          <w:sz w:val="20"/>
          <w:szCs w:val="20"/>
        </w:rPr>
        <w:t>Imaging</w:t>
      </w:r>
      <w:r w:rsidRPr="006D1604">
        <w:rPr>
          <w:rFonts w:ascii="Times New Roman" w:eastAsia="Times New Roman" w:hAnsi="Times New Roman" w:cs="Times New Roman"/>
          <w:sz w:val="20"/>
          <w:szCs w:val="20"/>
        </w:rPr>
        <w:t xml:space="preserve"> means making visible emissions that may otherwise be invisible to the naked eye.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w:t>
      </w:r>
      <w:r w:rsidRPr="006D1604">
        <w:rPr>
          <w:rFonts w:ascii="Times New Roman" w:eastAsia="Times New Roman" w:hAnsi="Times New Roman" w:cs="Times New Roman"/>
          <w:i/>
          <w:iCs/>
          <w:sz w:val="20"/>
          <w:szCs w:val="20"/>
        </w:rPr>
        <w:t>Optical gas imaging instrument</w:t>
      </w:r>
      <w:r w:rsidRPr="006D1604">
        <w:rPr>
          <w:rFonts w:ascii="Times New Roman" w:eastAsia="Times New Roman" w:hAnsi="Times New Roman" w:cs="Times New Roman"/>
          <w:sz w:val="20"/>
          <w:szCs w:val="20"/>
        </w:rPr>
        <w:t xml:space="preserve"> means an instrument that makes visible emissions that may otherwise be invisible to the naked eye.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w:t>
      </w:r>
      <w:r w:rsidRPr="006D1604">
        <w:rPr>
          <w:rFonts w:ascii="Times New Roman" w:eastAsia="Times New Roman" w:hAnsi="Times New Roman" w:cs="Times New Roman"/>
          <w:i/>
          <w:iCs/>
          <w:sz w:val="20"/>
          <w:szCs w:val="20"/>
        </w:rPr>
        <w:t>Repair</w:t>
      </w:r>
      <w:r w:rsidRPr="006D1604">
        <w:rPr>
          <w:rFonts w:ascii="Times New Roman" w:eastAsia="Times New Roman" w:hAnsi="Times New Roman" w:cs="Times New Roman"/>
          <w:sz w:val="20"/>
          <w:szCs w:val="20"/>
        </w:rPr>
        <w:t xml:space="preserve"> means that equipment is adjusted, or otherwise altered, in order to eliminate a leak.</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(6) </w:t>
      </w:r>
      <w:r w:rsidRPr="006D1604">
        <w:rPr>
          <w:rFonts w:ascii="Times New Roman" w:eastAsia="Times New Roman" w:hAnsi="Times New Roman" w:cs="Times New Roman"/>
          <w:i/>
          <w:iCs/>
          <w:sz w:val="20"/>
          <w:szCs w:val="20"/>
        </w:rPr>
        <w:t>Leak</w:t>
      </w:r>
      <w:r w:rsidRPr="006D1604">
        <w:rPr>
          <w:rFonts w:ascii="Times New Roman" w:eastAsia="Times New Roman" w:hAnsi="Times New Roman" w:cs="Times New Roman"/>
          <w:sz w:val="20"/>
          <w:szCs w:val="20"/>
        </w:rPr>
        <w:t xml:space="preserve"> means: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Any emissions imaged by the optical gas instrument;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Indications of liquids dripping;</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Indications by a sensor that a seal or barrier fluid system has failed; 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(iv) Screening results using a 40 CFR part 60, Appendix A-7, Method 21 monitor that exceed the leak definition in the applicable subpart to which the equipment is subject.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 The alternative work practice standard for monitoring equipment for leaks is available to all subparts in 40 CFR parts 60, 61, 63, and 65 that require monitoring of equipment with a 40 CFR part 60, Appendix A-7, Method 21 monitor.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An owner or operator of an affected source subject to CFR parts 60, 61, 63, or 65 can choose to comply with the alternative work practice requirements in paragraph (i) of this section instead of using the 40 CFR part 60, </w:t>
      </w:r>
      <w:r w:rsidRPr="006D1604">
        <w:rPr>
          <w:rFonts w:ascii="Times New Roman" w:eastAsia="Times New Roman" w:hAnsi="Times New Roman" w:cs="Times New Roman"/>
          <w:sz w:val="20"/>
          <w:szCs w:val="20"/>
        </w:rPr>
        <w:lastRenderedPageBreak/>
        <w:t>Appendix A-7, Method 21 monitor to identify leaking equipment. The owner or operator must document the equipment, process units, and facilities for which the alternative work practice will be used to identify leaks.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Any leak detected when following the leak survey procedure in paragraph (i)(3) of this section must be identified for repair as required in the applicable subpart.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 The schedule for repair is as required in the applicable subpart.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 When this alternative work practice is used for detecting leaking equipment the following are not applicable for the equipment being monitored: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Skip period leak detection and repair;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Quality improvement plans; 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Complying with standards for allowable percentage of valves and pumps to leak.</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An owner or operator of an affected source who chooses to use the alternative work practice must comply with the requirements of paragraphs (i)(1) through (i)(5)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Instrument Specifications. The optical gas imaging instrument must comply with the requirements in (i)(1)(i) and (i)(1)(ii)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Provide a date and time stamp for video records of every monitoring event.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(i) Calculate the mass flow rate to be used in the daily instrument check by following the procedures in paragraphs (i)(2)(i)(A) and (i)(2)(i)(B)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noProof/>
          <w:sz w:val="20"/>
          <w:szCs w:val="20"/>
        </w:rPr>
        <w:drawing>
          <wp:inline distT="0" distB="0" distL="0" distR="0" wp14:anchorId="704BFC88" wp14:editId="438DC9AA">
            <wp:extent cx="822325" cy="344170"/>
            <wp:effectExtent l="0" t="0" r="0" b="0"/>
            <wp:docPr id="21" name="Picture 21"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22de08.007.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2325" cy="344170"/>
                    </a:xfrm>
                    <a:prstGeom prst="rect">
                      <a:avLst/>
                    </a:prstGeom>
                    <a:noFill/>
                    <a:ln>
                      <a:noFill/>
                    </a:ln>
                  </pic:spPr>
                </pic:pic>
              </a:graphicData>
            </a:graphic>
          </wp:inline>
        </w:drawing>
      </w:r>
    </w:p>
    <w:p w:rsidR="00B26481" w:rsidRPr="006D1604" w:rsidRDefault="00C03602" w:rsidP="006D1604">
      <w:pPr>
        <w:spacing w:before="100" w:beforeAutospacing="1" w:after="100" w:afterAutospacing="1" w:line="240" w:lineRule="auto"/>
        <w:ind w:firstLine="480"/>
        <w:rPr>
          <w:rFonts w:ascii="Times New Roman" w:eastAsia="Times New Roman" w:hAnsi="Times New Roman" w:cs="Times New Roman"/>
          <w:sz w:val="20"/>
          <w:szCs w:val="20"/>
        </w:rPr>
      </w:pPr>
      <w:hyperlink r:id="rId11" w:history="1">
        <w:r w:rsidR="00B26481" w:rsidRPr="006D1604">
          <w:rPr>
            <w:rFonts w:ascii="Times New Roman" w:eastAsia="Times New Roman" w:hAnsi="Times New Roman" w:cs="Times New Roman"/>
            <w:color w:val="0000FF"/>
            <w:sz w:val="20"/>
            <w:szCs w:val="20"/>
          </w:rPr>
          <w:t>View or download PDF</w:t>
        </w:r>
      </w:hyperlink>
      <w:r w:rsidR="00B26481" w:rsidRPr="006D1604">
        <w:rPr>
          <w:rFonts w:ascii="Times New Roman" w:eastAsia="Times New Roman" w:hAnsi="Times New Roman" w:cs="Times New Roman"/>
          <w:sz w:val="20"/>
          <w:szCs w:val="20"/>
        </w:rPr>
        <w:t xml:space="preserve">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Where:</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w:t>
      </w:r>
      <w:r w:rsidRPr="006D1604">
        <w:rPr>
          <w:rFonts w:ascii="Times New Roman" w:eastAsia="Times New Roman" w:hAnsi="Times New Roman" w:cs="Times New Roman"/>
          <w:sz w:val="20"/>
          <w:szCs w:val="20"/>
          <w:vertAlign w:val="subscript"/>
        </w:rPr>
        <w:t>dic</w:t>
      </w:r>
      <w:r w:rsidRPr="006D1604">
        <w:rPr>
          <w:rFonts w:ascii="Times New Roman" w:eastAsia="Times New Roman" w:hAnsi="Times New Roman" w:cs="Times New Roman"/>
          <w:sz w:val="20"/>
          <w:szCs w:val="20"/>
        </w:rPr>
        <w:t xml:space="preserve"> = Mass flow rate for the daily instrument check, grams per hour </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x</w:t>
      </w:r>
      <w:r w:rsidRPr="006D1604">
        <w:rPr>
          <w:rFonts w:ascii="Times New Roman" w:eastAsia="Times New Roman" w:hAnsi="Times New Roman" w:cs="Times New Roman"/>
          <w:sz w:val="20"/>
          <w:szCs w:val="20"/>
          <w:vertAlign w:val="subscript"/>
        </w:rPr>
        <w:t>i</w:t>
      </w:r>
      <w:r w:rsidRPr="006D1604">
        <w:rPr>
          <w:rFonts w:ascii="Times New Roman" w:eastAsia="Times New Roman" w:hAnsi="Times New Roman" w:cs="Times New Roman"/>
          <w:sz w:val="20"/>
          <w:szCs w:val="20"/>
        </w:rPr>
        <w:t xml:space="preserve"> = Mass fraction of detectable chemical(s) i seen by the optical gas imaging instrument, within the distance to be used in paragraph (i)(2)(iv)(B) of this section, at or below the standard detection sensitivity level, E</w:t>
      </w:r>
      <w:r w:rsidRPr="006D1604">
        <w:rPr>
          <w:rFonts w:ascii="Times New Roman" w:eastAsia="Times New Roman" w:hAnsi="Times New Roman" w:cs="Times New Roman"/>
          <w:sz w:val="20"/>
          <w:szCs w:val="20"/>
          <w:vertAlign w:val="subscript"/>
        </w:rPr>
        <w:t>sds.</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w:t>
      </w:r>
      <w:r w:rsidRPr="006D1604">
        <w:rPr>
          <w:rFonts w:ascii="Times New Roman" w:eastAsia="Times New Roman" w:hAnsi="Times New Roman" w:cs="Times New Roman"/>
          <w:sz w:val="20"/>
          <w:szCs w:val="20"/>
          <w:vertAlign w:val="subscript"/>
        </w:rPr>
        <w:t>sds</w:t>
      </w:r>
      <w:r w:rsidRPr="006D1604">
        <w:rPr>
          <w:rFonts w:ascii="Times New Roman" w:eastAsia="Times New Roman" w:hAnsi="Times New Roman" w:cs="Times New Roman"/>
          <w:sz w:val="20"/>
          <w:szCs w:val="20"/>
        </w:rPr>
        <w:t xml:space="preserve"> = Standard detection sensitivity level from Table 1 to subpart A, grams per hour </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 = Total number of detectable chemicals emitted from the leaking equipment and seen by the optical gas imaging instrument.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Start the optical gas imaging instrument according to the manufacturer's instructions, ensuring that all appropriate settings conform to the manufacturer's instructions.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Use any gas chosen by the user that can be viewed by the optical gas imaging instrument and that has a purity of no less than 98 percent.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(iv) Establish a mass flow rate by using the following procedures: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Provide a source of gas where it will be in the field of view of the optical gas imaging instrument.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 Repeat the procedures specified in paragraphs (i)(2)(ii) through (i)(2)(iv) of this section for each configuration of the optical gas imaging instrument used during the leak survey.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(vi) To use an alternative method to demonstrate daily instrument checks, apply to the Administrator for approval of the alternative under §60.13(i).</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 Recordkeeping. You must keep the records described in paragraphs (i)(4)(i) through (i)(4)(vii)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The equipment, processes, and facilities for which the owner or operator chooses to use the alternative work practice.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The detection sensitivity level selected from Table 1 to subpart A of this part for the optical gas imaging instrument.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The analysis to determine the piece of equipment in contact with the lowest mass fraction of chemicals that are detectable, as specified in paragraph (i)(2)(i)(A)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(iv) The technical basis for the mass fraction of detectable chemicals used in the equation in paragraph (i)(2)(i)(B)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Reporting. Submit the reports required in the applicable subpart. Submit the records of the annual Method 21 screening required in paragraph (h)(7) of this section to the Administrator via e-mail to </w:t>
      </w:r>
      <w:r w:rsidRPr="006D1604">
        <w:rPr>
          <w:rFonts w:ascii="Times New Roman" w:eastAsia="Times New Roman" w:hAnsi="Times New Roman" w:cs="Times New Roman"/>
          <w:i/>
          <w:iCs/>
          <w:sz w:val="20"/>
          <w:szCs w:val="20"/>
        </w:rPr>
        <w:t>CCG-AWP@EPA.GOV.</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[51 FR 2701, Jan. 21, 1986, as amended at 63 FR 24444, May 4, 1998; 65 FR 61752, Oct. 17, 2000; 73 FR 78209, Dec. 22, 2008]</w:t>
      </w:r>
    </w:p>
    <w:p w:rsidR="00B26481" w:rsidRPr="006D1604" w:rsidRDefault="00C03602" w:rsidP="006D1604">
      <w:pPr>
        <w:spacing w:before="200" w:after="100" w:afterAutospacing="1" w:line="240" w:lineRule="auto"/>
        <w:rPr>
          <w:rFonts w:ascii="Times New Roman" w:eastAsia="Times New Roman" w:hAnsi="Times New Roman" w:cs="Times New Roman"/>
          <w:sz w:val="20"/>
          <w:szCs w:val="20"/>
        </w:rPr>
      </w:pPr>
      <w:hyperlink r:id="rId12" w:anchor="_top" w:history="1">
        <w:r w:rsidR="00B26481" w:rsidRPr="006D1604">
          <w:rPr>
            <w:rFonts w:ascii="Times New Roman" w:eastAsia="Times New Roman" w:hAnsi="Times New Roman" w:cs="Times New Roman"/>
            <w:noProof/>
            <w:color w:val="0000FF"/>
            <w:sz w:val="20"/>
            <w:szCs w:val="20"/>
          </w:rPr>
          <w:drawing>
            <wp:inline distT="0" distB="0" distL="0" distR="0" wp14:anchorId="2E23DBA1" wp14:editId="6711460F">
              <wp:extent cx="151130" cy="151130"/>
              <wp:effectExtent l="0" t="0" r="1270" b="1270"/>
              <wp:docPr id="22" name="Picture 22" descr="return arrow">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B26481" w:rsidRPr="006D1604">
          <w:rPr>
            <w:rFonts w:ascii="Times New Roman" w:eastAsia="Times New Roman" w:hAnsi="Times New Roman" w:cs="Times New Roman"/>
            <w:color w:val="0000FF"/>
            <w:sz w:val="20"/>
            <w:szCs w:val="20"/>
          </w:rPr>
          <w:t>Back to Top</w:t>
        </w:r>
      </w:hyperlink>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20" w:name="40:7.0.1.1.1.1.151.19"/>
      <w:bookmarkEnd w:id="20"/>
      <w:r w:rsidRPr="006D1604">
        <w:rPr>
          <w:rFonts w:ascii="Times New Roman" w:eastAsia="Times New Roman" w:hAnsi="Times New Roman" w:cs="Times New Roman"/>
          <w:b/>
          <w:bCs/>
          <w:sz w:val="20"/>
          <w:szCs w:val="20"/>
        </w:rPr>
        <w:t>§60.19   General notification and reporting requirements.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For the purposes of this part, time periods specified in days shall be measured in calendar days, even if the word “calendar” is absent, unless otherwise specified in an applicable requirement.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(ii) An owner or operator shall request the adjustment provided for in paragraphs (f)(2) and (f)(3) of this section each time he or she wishes to change an applicable time period or postmark deadline specified in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(4) If the Administrator is unable to meet a specified deadline, he or she will notify the owner or operator of any significant delay and inform the owner or operator of the amended schedule.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[59 FR 12428, Mar. 16, 1994, as amended at 64 FR 7463, Feb. 12, 1998] </w:t>
      </w:r>
    </w:p>
    <w:p w:rsidR="00B26481" w:rsidRPr="006D1604" w:rsidRDefault="00B26481" w:rsidP="006D1604">
      <w:pPr>
        <w:spacing w:before="200" w:line="240" w:lineRule="auto"/>
        <w:outlineLvl w:val="1"/>
        <w:rPr>
          <w:rFonts w:ascii="Times New Roman" w:eastAsia="Times New Roman" w:hAnsi="Times New Roman" w:cs="Times New Roman"/>
          <w:b/>
          <w:bCs/>
          <w:sz w:val="20"/>
          <w:szCs w:val="20"/>
        </w:rPr>
      </w:pPr>
      <w:bookmarkStart w:id="21" w:name="40:7.0.1.1.1.1.151.20.1"/>
      <w:bookmarkEnd w:id="21"/>
      <w:r w:rsidRPr="006D1604">
        <w:rPr>
          <w:rFonts w:ascii="Times New Roman" w:eastAsia="Times New Roman" w:hAnsi="Times New Roman" w:cs="Times New Roman"/>
          <w:b/>
          <w:bCs/>
          <w:sz w:val="20"/>
          <w:szCs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434"/>
        <w:gridCol w:w="3910"/>
      </w:tblGrid>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sz w:val="20"/>
                <w:szCs w:val="20"/>
              </w:rPr>
              <w:t>Monitoring frequency per subpart</w:t>
            </w:r>
            <w:r w:rsidRPr="006D1604">
              <w:rPr>
                <w:rFonts w:ascii="Times New Roman" w:eastAsia="Times New Roman" w:hAnsi="Times New Roman" w:cs="Times New Roman"/>
                <w:b/>
                <w:bCs/>
                <w:sz w:val="20"/>
                <w:szCs w:val="20"/>
                <w:vertAlign w:val="superscript"/>
              </w:rPr>
              <w:t>a</w:t>
            </w:r>
            <w:r w:rsidRPr="006D1604">
              <w:rPr>
                <w:rFonts w:ascii="Times New Roman" w:eastAsia="Times New Roman" w:hAnsi="Times New Roman" w:cs="Times New Roman"/>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sz w:val="20"/>
                <w:szCs w:val="20"/>
              </w:rPr>
              <w:t xml:space="preserve">Detection sensitivity level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60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85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100 </w:t>
            </w:r>
          </w:p>
        </w:tc>
      </w:tr>
    </w:tbl>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a</w:t>
      </w:r>
      <w:r w:rsidRPr="006D1604">
        <w:rPr>
          <w:rFonts w:ascii="Times New Roman" w:eastAsia="Times New Roman" w:hAnsi="Times New Roman" w:cs="Times New Roman"/>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1E21A1" w:rsidRPr="006D1604" w:rsidRDefault="00B26481" w:rsidP="006D1604">
      <w:pPr>
        <w:rPr>
          <w:rFonts w:ascii="Times New Roman" w:hAnsi="Times New Roman" w:cs="Times New Roman"/>
          <w:sz w:val="20"/>
          <w:szCs w:val="20"/>
        </w:rPr>
      </w:pPr>
      <w:r w:rsidRPr="006D1604">
        <w:rPr>
          <w:rFonts w:ascii="Times New Roman" w:eastAsia="Times New Roman" w:hAnsi="Times New Roman" w:cs="Times New Roman"/>
          <w:sz w:val="20"/>
          <w:szCs w:val="20"/>
        </w:rPr>
        <w:t>[73 FR 78211, Dec. 22, 2008]</w:t>
      </w:r>
    </w:p>
    <w:p w:rsidR="001E21A1" w:rsidRPr="006D1604" w:rsidRDefault="001E21A1" w:rsidP="006D1604">
      <w:pPr>
        <w:rPr>
          <w:rFonts w:ascii="Times New Roman" w:hAnsi="Times New Roman" w:cs="Times New Roman"/>
          <w:sz w:val="20"/>
          <w:szCs w:val="20"/>
        </w:rPr>
      </w:pPr>
    </w:p>
    <w:p w:rsidR="006D1604" w:rsidRPr="006D1604" w:rsidRDefault="006D1604">
      <w:pPr>
        <w:rPr>
          <w:rFonts w:ascii="Times New Roman" w:hAnsi="Times New Roman" w:cs="Times New Roman"/>
          <w:sz w:val="20"/>
          <w:szCs w:val="20"/>
        </w:rPr>
      </w:pPr>
    </w:p>
    <w:sectPr w:rsidR="006D1604" w:rsidRPr="006D1604">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A21" w:rsidRDefault="008D1A21" w:rsidP="00D4488E">
      <w:pPr>
        <w:spacing w:after="0" w:line="240" w:lineRule="auto"/>
      </w:pPr>
      <w:r>
        <w:separator/>
      </w:r>
    </w:p>
  </w:endnote>
  <w:endnote w:type="continuationSeparator" w:id="0">
    <w:p w:rsidR="008D1A21" w:rsidRDefault="008D1A21" w:rsidP="00D44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88E" w:rsidRPr="00D4488E" w:rsidRDefault="00D4488E" w:rsidP="00D4488E">
    <w:pPr>
      <w:pStyle w:val="Footer"/>
      <w:pBdr>
        <w:top w:val="single" w:sz="4" w:space="1" w:color="auto"/>
      </w:pBdr>
      <w:spacing w:before="240"/>
      <w:jc w:val="center"/>
      <w:rPr>
        <w:rFonts w:ascii="Times New Roman" w:hAnsi="Times New Roman" w:cs="Times New Roman"/>
        <w:sz w:val="20"/>
        <w:szCs w:val="20"/>
      </w:rPr>
    </w:pPr>
    <w:r w:rsidRPr="00D4488E">
      <w:rPr>
        <w:rFonts w:ascii="Times New Roman" w:hAnsi="Times New Roman" w:cs="Times New Roman"/>
        <w:sz w:val="20"/>
        <w:szCs w:val="20"/>
      </w:rPr>
      <w:t xml:space="preserve">Page </w:t>
    </w:r>
    <w:r w:rsidRPr="00D4488E">
      <w:rPr>
        <w:rStyle w:val="PageNumber"/>
        <w:rFonts w:ascii="Times New Roman" w:hAnsi="Times New Roman" w:cs="Times New Roman"/>
        <w:sz w:val="20"/>
        <w:szCs w:val="20"/>
      </w:rPr>
      <w:fldChar w:fldCharType="begin"/>
    </w:r>
    <w:r w:rsidRPr="00D4488E">
      <w:rPr>
        <w:rStyle w:val="PageNumber"/>
        <w:rFonts w:ascii="Times New Roman" w:hAnsi="Times New Roman" w:cs="Times New Roman"/>
        <w:sz w:val="20"/>
        <w:szCs w:val="20"/>
      </w:rPr>
      <w:instrText xml:space="preserve"> PAGE </w:instrText>
    </w:r>
    <w:r w:rsidRPr="00D4488E">
      <w:rPr>
        <w:rStyle w:val="PageNumber"/>
        <w:rFonts w:ascii="Times New Roman" w:hAnsi="Times New Roman" w:cs="Times New Roman"/>
        <w:sz w:val="20"/>
        <w:szCs w:val="20"/>
      </w:rPr>
      <w:fldChar w:fldCharType="separate"/>
    </w:r>
    <w:r w:rsidR="00C03602">
      <w:rPr>
        <w:rStyle w:val="PageNumber"/>
        <w:rFonts w:ascii="Times New Roman" w:hAnsi="Times New Roman" w:cs="Times New Roman"/>
        <w:noProof/>
        <w:sz w:val="20"/>
        <w:szCs w:val="20"/>
      </w:rPr>
      <w:t>1</w:t>
    </w:r>
    <w:r w:rsidRPr="00D4488E">
      <w:rPr>
        <w:rStyle w:val="PageNumber"/>
        <w:rFonts w:ascii="Times New Roman" w:hAnsi="Times New Roman" w:cs="Times New Roman"/>
        <w:sz w:val="20"/>
        <w:szCs w:val="20"/>
      </w:rPr>
      <w:fldChar w:fldCharType="end"/>
    </w:r>
    <w:r w:rsidRPr="00D4488E">
      <w:rPr>
        <w:rStyle w:val="PageNumber"/>
        <w:rFonts w:ascii="Times New Roman" w:hAnsi="Times New Roman" w:cs="Times New Roman"/>
        <w:sz w:val="20"/>
        <w:szCs w:val="20"/>
      </w:rPr>
      <w:t xml:space="preserve"> of </w:t>
    </w:r>
    <w:r w:rsidRPr="00D4488E">
      <w:rPr>
        <w:rStyle w:val="PageNumber"/>
        <w:rFonts w:ascii="Times New Roman" w:hAnsi="Times New Roman" w:cs="Times New Roman"/>
        <w:sz w:val="20"/>
        <w:szCs w:val="20"/>
      </w:rPr>
      <w:fldChar w:fldCharType="begin"/>
    </w:r>
    <w:r w:rsidRPr="00D4488E">
      <w:rPr>
        <w:rStyle w:val="PageNumber"/>
        <w:rFonts w:ascii="Times New Roman" w:hAnsi="Times New Roman" w:cs="Times New Roman"/>
        <w:sz w:val="20"/>
        <w:szCs w:val="20"/>
      </w:rPr>
      <w:instrText xml:space="preserve"> NUMPAGES </w:instrText>
    </w:r>
    <w:r w:rsidRPr="00D4488E">
      <w:rPr>
        <w:rStyle w:val="PageNumber"/>
        <w:rFonts w:ascii="Times New Roman" w:hAnsi="Times New Roman" w:cs="Times New Roman"/>
        <w:sz w:val="20"/>
        <w:szCs w:val="20"/>
      </w:rPr>
      <w:fldChar w:fldCharType="separate"/>
    </w:r>
    <w:r w:rsidR="00C03602">
      <w:rPr>
        <w:rStyle w:val="PageNumber"/>
        <w:rFonts w:ascii="Times New Roman" w:hAnsi="Times New Roman" w:cs="Times New Roman"/>
        <w:noProof/>
        <w:sz w:val="20"/>
        <w:szCs w:val="20"/>
      </w:rPr>
      <w:t>53</w:t>
    </w:r>
    <w:r w:rsidRPr="00D4488E">
      <w:rPr>
        <w:rStyle w:val="PageNumber"/>
        <w:rFonts w:ascii="Times New Roman" w:hAnsi="Times New Roman" w:cs="Times New Roman"/>
        <w:sz w:val="20"/>
        <w:szCs w:val="20"/>
      </w:rPr>
      <w:fldChar w:fldCharType="end"/>
    </w:r>
  </w:p>
  <w:p w:rsidR="00D4488E" w:rsidRPr="00D4488E" w:rsidRDefault="00D4488E">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A21" w:rsidRDefault="008D1A21" w:rsidP="00D4488E">
      <w:pPr>
        <w:spacing w:after="0" w:line="240" w:lineRule="auto"/>
      </w:pPr>
      <w:r>
        <w:separator/>
      </w:r>
    </w:p>
  </w:footnote>
  <w:footnote w:type="continuationSeparator" w:id="0">
    <w:p w:rsidR="008D1A21" w:rsidRDefault="008D1A21" w:rsidP="00D44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88E" w:rsidRPr="00D4488E" w:rsidRDefault="00D4488E" w:rsidP="00D4488E">
    <w:pPr>
      <w:pStyle w:val="Header"/>
      <w:pBdr>
        <w:bottom w:val="single" w:sz="4" w:space="1" w:color="auto"/>
      </w:pBdr>
      <w:spacing w:after="240"/>
      <w:jc w:val="center"/>
      <w:rPr>
        <w:rFonts w:ascii="Times New Roman" w:hAnsi="Times New Roman" w:cs="Times New Roman"/>
        <w:b/>
        <w:caps/>
        <w:sz w:val="20"/>
        <w:szCs w:val="20"/>
      </w:rPr>
    </w:pPr>
    <w:r w:rsidRPr="00D4488E">
      <w:rPr>
        <w:rFonts w:ascii="Times New Roman" w:hAnsi="Times New Roman" w:cs="Times New Roman"/>
        <w:b/>
        <w:caps/>
        <w:sz w:val="20"/>
        <w:szCs w:val="20"/>
      </w:rPr>
      <w:t>Appendix NSPS 40 CFR 60 Subpart A (General provisions)</w:t>
    </w:r>
  </w:p>
  <w:p w:rsidR="00D4488E" w:rsidRPr="00D4488E" w:rsidRDefault="00D4488E" w:rsidP="00D448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1E7"/>
    <w:rsid w:val="00003027"/>
    <w:rsid w:val="000146D7"/>
    <w:rsid w:val="00031639"/>
    <w:rsid w:val="00032103"/>
    <w:rsid w:val="00050B89"/>
    <w:rsid w:val="000514F9"/>
    <w:rsid w:val="000520B5"/>
    <w:rsid w:val="00063FBE"/>
    <w:rsid w:val="000678B0"/>
    <w:rsid w:val="00070AB3"/>
    <w:rsid w:val="000828EE"/>
    <w:rsid w:val="000A08DE"/>
    <w:rsid w:val="000A51DF"/>
    <w:rsid w:val="000E7E60"/>
    <w:rsid w:val="0010232A"/>
    <w:rsid w:val="001031E7"/>
    <w:rsid w:val="00125BDF"/>
    <w:rsid w:val="001511B6"/>
    <w:rsid w:val="001624EA"/>
    <w:rsid w:val="001631CF"/>
    <w:rsid w:val="001741C3"/>
    <w:rsid w:val="00184502"/>
    <w:rsid w:val="001B7260"/>
    <w:rsid w:val="001C7B7D"/>
    <w:rsid w:val="001D6C08"/>
    <w:rsid w:val="001E21A1"/>
    <w:rsid w:val="001E59ED"/>
    <w:rsid w:val="001E7393"/>
    <w:rsid w:val="001F2885"/>
    <w:rsid w:val="001F689A"/>
    <w:rsid w:val="00206898"/>
    <w:rsid w:val="002075A0"/>
    <w:rsid w:val="002135A8"/>
    <w:rsid w:val="00216FCF"/>
    <w:rsid w:val="0022312E"/>
    <w:rsid w:val="00290251"/>
    <w:rsid w:val="00290684"/>
    <w:rsid w:val="002B6227"/>
    <w:rsid w:val="002D75A5"/>
    <w:rsid w:val="003237AE"/>
    <w:rsid w:val="00351765"/>
    <w:rsid w:val="00352C60"/>
    <w:rsid w:val="00356595"/>
    <w:rsid w:val="00366EDC"/>
    <w:rsid w:val="00371D19"/>
    <w:rsid w:val="003A09D9"/>
    <w:rsid w:val="003B5EA2"/>
    <w:rsid w:val="003B775A"/>
    <w:rsid w:val="003D1CFE"/>
    <w:rsid w:val="003E0AE1"/>
    <w:rsid w:val="003E1339"/>
    <w:rsid w:val="00403F0D"/>
    <w:rsid w:val="00404443"/>
    <w:rsid w:val="00415AEC"/>
    <w:rsid w:val="00415FDC"/>
    <w:rsid w:val="0043493F"/>
    <w:rsid w:val="004446E7"/>
    <w:rsid w:val="00461200"/>
    <w:rsid w:val="004C48CF"/>
    <w:rsid w:val="004E163C"/>
    <w:rsid w:val="00505508"/>
    <w:rsid w:val="00513F98"/>
    <w:rsid w:val="00526E2D"/>
    <w:rsid w:val="00533767"/>
    <w:rsid w:val="0053447A"/>
    <w:rsid w:val="0054333E"/>
    <w:rsid w:val="0054796A"/>
    <w:rsid w:val="0055166B"/>
    <w:rsid w:val="00553149"/>
    <w:rsid w:val="00565B9B"/>
    <w:rsid w:val="005662EA"/>
    <w:rsid w:val="00572ABB"/>
    <w:rsid w:val="00582722"/>
    <w:rsid w:val="0059480D"/>
    <w:rsid w:val="00596B20"/>
    <w:rsid w:val="005B14D3"/>
    <w:rsid w:val="005B3C41"/>
    <w:rsid w:val="005B5E65"/>
    <w:rsid w:val="005B7849"/>
    <w:rsid w:val="005C61F6"/>
    <w:rsid w:val="005E7872"/>
    <w:rsid w:val="00600CE2"/>
    <w:rsid w:val="00605798"/>
    <w:rsid w:val="00613CAB"/>
    <w:rsid w:val="00616F09"/>
    <w:rsid w:val="00617F06"/>
    <w:rsid w:val="006210E0"/>
    <w:rsid w:val="006224A9"/>
    <w:rsid w:val="00625337"/>
    <w:rsid w:val="00627361"/>
    <w:rsid w:val="006336B0"/>
    <w:rsid w:val="00643ABB"/>
    <w:rsid w:val="0066459C"/>
    <w:rsid w:val="00665DAB"/>
    <w:rsid w:val="00672FF3"/>
    <w:rsid w:val="00680124"/>
    <w:rsid w:val="006830A2"/>
    <w:rsid w:val="0068572B"/>
    <w:rsid w:val="006949AB"/>
    <w:rsid w:val="006A3D7A"/>
    <w:rsid w:val="006A5673"/>
    <w:rsid w:val="006B25B8"/>
    <w:rsid w:val="006B3C9E"/>
    <w:rsid w:val="006D1604"/>
    <w:rsid w:val="007149A1"/>
    <w:rsid w:val="0071675F"/>
    <w:rsid w:val="007234B2"/>
    <w:rsid w:val="00724163"/>
    <w:rsid w:val="007264DB"/>
    <w:rsid w:val="00733315"/>
    <w:rsid w:val="00737091"/>
    <w:rsid w:val="00750B81"/>
    <w:rsid w:val="0076660C"/>
    <w:rsid w:val="00772033"/>
    <w:rsid w:val="007845DA"/>
    <w:rsid w:val="007917C2"/>
    <w:rsid w:val="007B6BDE"/>
    <w:rsid w:val="007B7B33"/>
    <w:rsid w:val="007C6BA6"/>
    <w:rsid w:val="007E391D"/>
    <w:rsid w:val="00837808"/>
    <w:rsid w:val="00845F6B"/>
    <w:rsid w:val="00852BB3"/>
    <w:rsid w:val="00872FC8"/>
    <w:rsid w:val="0088343D"/>
    <w:rsid w:val="00883C64"/>
    <w:rsid w:val="0088532F"/>
    <w:rsid w:val="00894594"/>
    <w:rsid w:val="0089516F"/>
    <w:rsid w:val="00895869"/>
    <w:rsid w:val="008D1A21"/>
    <w:rsid w:val="008E3EAC"/>
    <w:rsid w:val="008F30B6"/>
    <w:rsid w:val="009052DB"/>
    <w:rsid w:val="009227A0"/>
    <w:rsid w:val="0092319A"/>
    <w:rsid w:val="00935650"/>
    <w:rsid w:val="00952CE5"/>
    <w:rsid w:val="00975622"/>
    <w:rsid w:val="00987F04"/>
    <w:rsid w:val="00990838"/>
    <w:rsid w:val="009A6F29"/>
    <w:rsid w:val="009D5CCD"/>
    <w:rsid w:val="009D6949"/>
    <w:rsid w:val="009E543B"/>
    <w:rsid w:val="009E64CF"/>
    <w:rsid w:val="00A10262"/>
    <w:rsid w:val="00A111AC"/>
    <w:rsid w:val="00A12C9F"/>
    <w:rsid w:val="00A216B5"/>
    <w:rsid w:val="00A26286"/>
    <w:rsid w:val="00A30F4F"/>
    <w:rsid w:val="00A46DE5"/>
    <w:rsid w:val="00A6182A"/>
    <w:rsid w:val="00A710F4"/>
    <w:rsid w:val="00A71E9B"/>
    <w:rsid w:val="00A77459"/>
    <w:rsid w:val="00A84DC4"/>
    <w:rsid w:val="00A85D07"/>
    <w:rsid w:val="00AA55A5"/>
    <w:rsid w:val="00AB486A"/>
    <w:rsid w:val="00AB48C7"/>
    <w:rsid w:val="00AD7529"/>
    <w:rsid w:val="00AF609C"/>
    <w:rsid w:val="00B26481"/>
    <w:rsid w:val="00B32C52"/>
    <w:rsid w:val="00B365C8"/>
    <w:rsid w:val="00B367D6"/>
    <w:rsid w:val="00B6051D"/>
    <w:rsid w:val="00B61943"/>
    <w:rsid w:val="00B67C43"/>
    <w:rsid w:val="00B933DA"/>
    <w:rsid w:val="00B951C2"/>
    <w:rsid w:val="00B96DC4"/>
    <w:rsid w:val="00BA3CCC"/>
    <w:rsid w:val="00BB64B8"/>
    <w:rsid w:val="00BE782B"/>
    <w:rsid w:val="00C0057C"/>
    <w:rsid w:val="00C02B20"/>
    <w:rsid w:val="00C03602"/>
    <w:rsid w:val="00C038E4"/>
    <w:rsid w:val="00C26A03"/>
    <w:rsid w:val="00C27E25"/>
    <w:rsid w:val="00C34143"/>
    <w:rsid w:val="00C43254"/>
    <w:rsid w:val="00C561FF"/>
    <w:rsid w:val="00C56AB7"/>
    <w:rsid w:val="00C64175"/>
    <w:rsid w:val="00C77E99"/>
    <w:rsid w:val="00C96473"/>
    <w:rsid w:val="00CB0109"/>
    <w:rsid w:val="00CC1C2C"/>
    <w:rsid w:val="00CD3568"/>
    <w:rsid w:val="00CD64E1"/>
    <w:rsid w:val="00CE19F1"/>
    <w:rsid w:val="00CE6FE2"/>
    <w:rsid w:val="00CF6121"/>
    <w:rsid w:val="00D01822"/>
    <w:rsid w:val="00D12580"/>
    <w:rsid w:val="00D24199"/>
    <w:rsid w:val="00D35C95"/>
    <w:rsid w:val="00D4488E"/>
    <w:rsid w:val="00D44E3D"/>
    <w:rsid w:val="00D53F71"/>
    <w:rsid w:val="00D6039B"/>
    <w:rsid w:val="00D64A87"/>
    <w:rsid w:val="00D76110"/>
    <w:rsid w:val="00D81F21"/>
    <w:rsid w:val="00DA14DF"/>
    <w:rsid w:val="00DB1FA7"/>
    <w:rsid w:val="00DC3556"/>
    <w:rsid w:val="00DE157B"/>
    <w:rsid w:val="00DF1269"/>
    <w:rsid w:val="00E00291"/>
    <w:rsid w:val="00E24184"/>
    <w:rsid w:val="00E64447"/>
    <w:rsid w:val="00E86078"/>
    <w:rsid w:val="00EA2464"/>
    <w:rsid w:val="00EB6FF4"/>
    <w:rsid w:val="00EF4DB0"/>
    <w:rsid w:val="00F03E36"/>
    <w:rsid w:val="00F07886"/>
    <w:rsid w:val="00F14124"/>
    <w:rsid w:val="00F15AC2"/>
    <w:rsid w:val="00F64533"/>
    <w:rsid w:val="00F80667"/>
    <w:rsid w:val="00F839BD"/>
    <w:rsid w:val="00F8762A"/>
    <w:rsid w:val="00F912C6"/>
    <w:rsid w:val="00FC4A56"/>
    <w:rsid w:val="00FD7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34096D9B-839E-4246-974C-6D1AF949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26481"/>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B26481"/>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B26481"/>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B26481"/>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B26481"/>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6481"/>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B26481"/>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B26481"/>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B26481"/>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B26481"/>
    <w:rPr>
      <w:rFonts w:ascii="Times New Roman" w:eastAsia="Times New Roman" w:hAnsi="Times New Roman" w:cs="Times New Roman"/>
      <w:b/>
      <w:bCs/>
      <w:sz w:val="20"/>
      <w:szCs w:val="20"/>
    </w:rPr>
  </w:style>
  <w:style w:type="numbering" w:customStyle="1" w:styleId="NoList1">
    <w:name w:val="No List1"/>
    <w:next w:val="NoList"/>
    <w:uiPriority w:val="99"/>
    <w:semiHidden/>
    <w:unhideWhenUsed/>
    <w:rsid w:val="00B26481"/>
  </w:style>
  <w:style w:type="character" w:styleId="Hyperlink">
    <w:name w:val="Hyperlink"/>
    <w:basedOn w:val="DefaultParagraphFont"/>
    <w:uiPriority w:val="99"/>
    <w:semiHidden/>
    <w:unhideWhenUsed/>
    <w:rsid w:val="00B26481"/>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B26481"/>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B2648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B2648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B2648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B264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B26481"/>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B26481"/>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B26481"/>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B26481"/>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B26481"/>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B26481"/>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B26481"/>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B26481"/>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B26481"/>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B26481"/>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B26481"/>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B26481"/>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B26481"/>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B26481"/>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B26481"/>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B26481"/>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B26481"/>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B26481"/>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B26481"/>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B26481"/>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B2648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B2648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B26481"/>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B26481"/>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B26481"/>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B2648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B26481"/>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B26481"/>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B26481"/>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B26481"/>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B26481"/>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B26481"/>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B26481"/>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B2648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B264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B26481"/>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B26481"/>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B26481"/>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B26481"/>
    <w:pPr>
      <w:spacing w:before="200" w:after="100" w:afterAutospacing="1" w:line="240" w:lineRule="auto"/>
    </w:pPr>
    <w:rPr>
      <w:rFonts w:ascii="Times New Roman" w:eastAsia="Times New Roman" w:hAnsi="Times New Roman" w:cs="Times New Roman"/>
      <w:sz w:val="18"/>
      <w:szCs w:val="18"/>
    </w:rPr>
  </w:style>
  <w:style w:type="paragraph" w:customStyle="1" w:styleId="Title1">
    <w:name w:val="Title1"/>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Subtitle1">
    <w:name w:val="Subtitle1"/>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B26481"/>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B26481"/>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B26481"/>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B26481"/>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B26481"/>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B2648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B26481"/>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B26481"/>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B26481"/>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B26481"/>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B26481"/>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B26481"/>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B26481"/>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B26481"/>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B26481"/>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B26481"/>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B26481"/>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B26481"/>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B26481"/>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B26481"/>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B26481"/>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B26481"/>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B26481"/>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B2648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B2648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B2648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B26481"/>
    <w:rPr>
      <w:shd w:val="clear" w:color="auto" w:fill="FFFFFF"/>
    </w:rPr>
  </w:style>
  <w:style w:type="character" w:customStyle="1" w:styleId="pdash">
    <w:name w:val="pdash"/>
    <w:basedOn w:val="DefaultParagraphFont"/>
    <w:rsid w:val="00B26481"/>
    <w:rPr>
      <w:shd w:val="clear" w:color="auto" w:fill="FFFFFF"/>
    </w:rPr>
  </w:style>
  <w:style w:type="character" w:customStyle="1" w:styleId="su1">
    <w:name w:val="su1"/>
    <w:basedOn w:val="DefaultParagraphFont"/>
    <w:rsid w:val="00B26481"/>
    <w:rPr>
      <w:smallCaps w:val="0"/>
      <w:sz w:val="17"/>
      <w:szCs w:val="17"/>
      <w:vertAlign w:val="superscript"/>
    </w:rPr>
  </w:style>
  <w:style w:type="paragraph" w:customStyle="1" w:styleId="gpotblnote">
    <w:name w:val="gpotbl_note"/>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B26481"/>
    <w:rPr>
      <w:i/>
      <w:iCs/>
    </w:rPr>
  </w:style>
  <w:style w:type="paragraph" w:styleId="Header">
    <w:name w:val="header"/>
    <w:basedOn w:val="Normal"/>
    <w:link w:val="HeaderChar"/>
    <w:unhideWhenUsed/>
    <w:rsid w:val="00D448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488E"/>
  </w:style>
  <w:style w:type="paragraph" w:styleId="Footer">
    <w:name w:val="footer"/>
    <w:basedOn w:val="Normal"/>
    <w:link w:val="FooterChar"/>
    <w:unhideWhenUsed/>
    <w:rsid w:val="00D448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488E"/>
  </w:style>
  <w:style w:type="character" w:styleId="PageNumber">
    <w:name w:val="page number"/>
    <w:basedOn w:val="DefaultParagraphFont"/>
    <w:rsid w:val="00D44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312882">
      <w:bodyDiv w:val="1"/>
      <w:marLeft w:val="0"/>
      <w:marRight w:val="0"/>
      <w:marTop w:val="30"/>
      <w:marBottom w:val="750"/>
      <w:divBdr>
        <w:top w:val="none" w:sz="0" w:space="0" w:color="auto"/>
        <w:left w:val="none" w:sz="0" w:space="0" w:color="auto"/>
        <w:bottom w:val="none" w:sz="0" w:space="0" w:color="auto"/>
        <w:right w:val="none" w:sz="0" w:space="0" w:color="auto"/>
      </w:divBdr>
      <w:divsChild>
        <w:div w:id="109015755">
          <w:marLeft w:val="0"/>
          <w:marRight w:val="0"/>
          <w:marTop w:val="0"/>
          <w:marBottom w:val="0"/>
          <w:divBdr>
            <w:top w:val="none" w:sz="0" w:space="0" w:color="auto"/>
            <w:left w:val="none" w:sz="0" w:space="0" w:color="auto"/>
            <w:bottom w:val="none" w:sz="0" w:space="0" w:color="auto"/>
            <w:right w:val="none" w:sz="0" w:space="0" w:color="auto"/>
          </w:divBdr>
          <w:divsChild>
            <w:div w:id="997924350">
              <w:marLeft w:val="0"/>
              <w:marRight w:val="0"/>
              <w:marTop w:val="0"/>
              <w:marBottom w:val="0"/>
              <w:divBdr>
                <w:top w:val="none" w:sz="0" w:space="0" w:color="auto"/>
                <w:left w:val="none" w:sz="0" w:space="0" w:color="auto"/>
                <w:bottom w:val="none" w:sz="0" w:space="0" w:color="auto"/>
                <w:right w:val="none" w:sz="0" w:space="0" w:color="auto"/>
              </w:divBdr>
            </w:div>
            <w:div w:id="996768503">
              <w:marLeft w:val="0"/>
              <w:marRight w:val="0"/>
              <w:marTop w:val="0"/>
              <w:marBottom w:val="0"/>
              <w:divBdr>
                <w:top w:val="none" w:sz="0" w:space="0" w:color="auto"/>
                <w:left w:val="none" w:sz="0" w:space="0" w:color="auto"/>
                <w:bottom w:val="none" w:sz="0" w:space="0" w:color="auto"/>
                <w:right w:val="none" w:sz="0" w:space="0" w:color="auto"/>
              </w:divBdr>
            </w:div>
            <w:div w:id="1913466823">
              <w:marLeft w:val="0"/>
              <w:marRight w:val="0"/>
              <w:marTop w:val="0"/>
              <w:marBottom w:val="0"/>
              <w:divBdr>
                <w:top w:val="none" w:sz="0" w:space="0" w:color="auto"/>
                <w:left w:val="none" w:sz="0" w:space="0" w:color="auto"/>
                <w:bottom w:val="none" w:sz="0" w:space="0" w:color="auto"/>
                <w:right w:val="none" w:sz="0" w:space="0" w:color="auto"/>
              </w:divBdr>
            </w:div>
            <w:div w:id="1924758738">
              <w:marLeft w:val="0"/>
              <w:marRight w:val="0"/>
              <w:marTop w:val="0"/>
              <w:marBottom w:val="0"/>
              <w:divBdr>
                <w:top w:val="none" w:sz="0" w:space="0" w:color="auto"/>
                <w:left w:val="none" w:sz="0" w:space="0" w:color="auto"/>
                <w:bottom w:val="none" w:sz="0" w:space="0" w:color="auto"/>
                <w:right w:val="none" w:sz="0" w:space="0" w:color="auto"/>
              </w:divBdr>
            </w:div>
            <w:div w:id="1068766178">
              <w:marLeft w:val="0"/>
              <w:marRight w:val="0"/>
              <w:marTop w:val="0"/>
              <w:marBottom w:val="0"/>
              <w:divBdr>
                <w:top w:val="none" w:sz="0" w:space="0" w:color="auto"/>
                <w:left w:val="none" w:sz="0" w:space="0" w:color="auto"/>
                <w:bottom w:val="none" w:sz="0" w:space="0" w:color="auto"/>
                <w:right w:val="none" w:sz="0" w:space="0" w:color="auto"/>
              </w:divBdr>
            </w:div>
            <w:div w:id="1267154456">
              <w:marLeft w:val="0"/>
              <w:marRight w:val="0"/>
              <w:marTop w:val="0"/>
              <w:marBottom w:val="0"/>
              <w:divBdr>
                <w:top w:val="none" w:sz="0" w:space="0" w:color="auto"/>
                <w:left w:val="none" w:sz="0" w:space="0" w:color="auto"/>
                <w:bottom w:val="none" w:sz="0" w:space="0" w:color="auto"/>
                <w:right w:val="none" w:sz="0" w:space="0" w:color="auto"/>
              </w:divBdr>
            </w:div>
            <w:div w:id="1064790209">
              <w:marLeft w:val="0"/>
              <w:marRight w:val="0"/>
              <w:marTop w:val="0"/>
              <w:marBottom w:val="0"/>
              <w:divBdr>
                <w:top w:val="none" w:sz="0" w:space="0" w:color="auto"/>
                <w:left w:val="none" w:sz="0" w:space="0" w:color="auto"/>
                <w:bottom w:val="none" w:sz="0" w:space="0" w:color="auto"/>
                <w:right w:val="none" w:sz="0" w:space="0" w:color="auto"/>
              </w:divBdr>
            </w:div>
            <w:div w:id="1341422759">
              <w:marLeft w:val="0"/>
              <w:marRight w:val="0"/>
              <w:marTop w:val="0"/>
              <w:marBottom w:val="0"/>
              <w:divBdr>
                <w:top w:val="none" w:sz="0" w:space="0" w:color="auto"/>
                <w:left w:val="none" w:sz="0" w:space="0" w:color="auto"/>
                <w:bottom w:val="none" w:sz="0" w:space="0" w:color="auto"/>
                <w:right w:val="none" w:sz="0" w:space="0" w:color="auto"/>
              </w:divBdr>
            </w:div>
            <w:div w:id="920716935">
              <w:marLeft w:val="0"/>
              <w:marRight w:val="0"/>
              <w:marTop w:val="0"/>
              <w:marBottom w:val="0"/>
              <w:divBdr>
                <w:top w:val="none" w:sz="0" w:space="0" w:color="auto"/>
                <w:left w:val="none" w:sz="0" w:space="0" w:color="auto"/>
                <w:bottom w:val="none" w:sz="0" w:space="0" w:color="auto"/>
                <w:right w:val="none" w:sz="0" w:space="0" w:color="auto"/>
              </w:divBdr>
            </w:div>
            <w:div w:id="1927036701">
              <w:marLeft w:val="0"/>
              <w:marRight w:val="0"/>
              <w:marTop w:val="0"/>
              <w:marBottom w:val="0"/>
              <w:divBdr>
                <w:top w:val="none" w:sz="0" w:space="0" w:color="auto"/>
                <w:left w:val="none" w:sz="0" w:space="0" w:color="auto"/>
                <w:bottom w:val="none" w:sz="0" w:space="0" w:color="auto"/>
                <w:right w:val="none" w:sz="0" w:space="0" w:color="auto"/>
              </w:divBdr>
            </w:div>
            <w:div w:id="924726182">
              <w:marLeft w:val="0"/>
              <w:marRight w:val="0"/>
              <w:marTop w:val="0"/>
              <w:marBottom w:val="0"/>
              <w:divBdr>
                <w:top w:val="none" w:sz="0" w:space="0" w:color="auto"/>
                <w:left w:val="none" w:sz="0" w:space="0" w:color="auto"/>
                <w:bottom w:val="none" w:sz="0" w:space="0" w:color="auto"/>
                <w:right w:val="none" w:sz="0" w:space="0" w:color="auto"/>
              </w:divBdr>
              <w:divsChild>
                <w:div w:id="3777075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33856223">
              <w:marLeft w:val="0"/>
              <w:marRight w:val="0"/>
              <w:marTop w:val="0"/>
              <w:marBottom w:val="0"/>
              <w:divBdr>
                <w:top w:val="none" w:sz="0" w:space="0" w:color="auto"/>
                <w:left w:val="none" w:sz="0" w:space="0" w:color="auto"/>
                <w:bottom w:val="none" w:sz="0" w:space="0" w:color="auto"/>
                <w:right w:val="none" w:sz="0" w:space="0" w:color="auto"/>
              </w:divBdr>
              <w:divsChild>
                <w:div w:id="1985815678">
                  <w:marLeft w:val="0"/>
                  <w:marRight w:val="0"/>
                  <w:marTop w:val="0"/>
                  <w:marBottom w:val="0"/>
                  <w:divBdr>
                    <w:top w:val="none" w:sz="0" w:space="0" w:color="auto"/>
                    <w:left w:val="none" w:sz="0" w:space="0" w:color="auto"/>
                    <w:bottom w:val="none" w:sz="0" w:space="0" w:color="auto"/>
                    <w:right w:val="none" w:sz="0" w:space="0" w:color="auto"/>
                  </w:divBdr>
                </w:div>
                <w:div w:id="54470787">
                  <w:marLeft w:val="0"/>
                  <w:marRight w:val="0"/>
                  <w:marTop w:val="0"/>
                  <w:marBottom w:val="0"/>
                  <w:divBdr>
                    <w:top w:val="single" w:sz="12" w:space="0" w:color="000000"/>
                    <w:left w:val="single" w:sz="12" w:space="0" w:color="000000"/>
                    <w:bottom w:val="single" w:sz="12" w:space="0" w:color="000000"/>
                    <w:right w:val="single" w:sz="12" w:space="0" w:color="000000"/>
                  </w:divBdr>
                </w:div>
                <w:div w:id="1297176618">
                  <w:marLeft w:val="0"/>
                  <w:marRight w:val="0"/>
                  <w:marTop w:val="0"/>
                  <w:marBottom w:val="0"/>
                  <w:divBdr>
                    <w:top w:val="none" w:sz="0" w:space="0" w:color="auto"/>
                    <w:left w:val="none" w:sz="0" w:space="0" w:color="auto"/>
                    <w:bottom w:val="none" w:sz="0" w:space="0" w:color="auto"/>
                    <w:right w:val="none" w:sz="0" w:space="0" w:color="auto"/>
                  </w:divBdr>
                </w:div>
              </w:divsChild>
            </w:div>
            <w:div w:id="1382052167">
              <w:marLeft w:val="0"/>
              <w:marRight w:val="0"/>
              <w:marTop w:val="0"/>
              <w:marBottom w:val="0"/>
              <w:divBdr>
                <w:top w:val="none" w:sz="0" w:space="0" w:color="auto"/>
                <w:left w:val="none" w:sz="0" w:space="0" w:color="auto"/>
                <w:bottom w:val="none" w:sz="0" w:space="0" w:color="auto"/>
                <w:right w:val="none" w:sz="0" w:space="0" w:color="auto"/>
              </w:divBdr>
              <w:divsChild>
                <w:div w:id="1882790779">
                  <w:marLeft w:val="0"/>
                  <w:marRight w:val="0"/>
                  <w:marTop w:val="0"/>
                  <w:marBottom w:val="0"/>
                  <w:divBdr>
                    <w:top w:val="none" w:sz="0" w:space="0" w:color="auto"/>
                    <w:left w:val="none" w:sz="0" w:space="0" w:color="auto"/>
                    <w:bottom w:val="none" w:sz="0" w:space="0" w:color="auto"/>
                    <w:right w:val="none" w:sz="0" w:space="0" w:color="auto"/>
                  </w:divBdr>
                </w:div>
                <w:div w:id="541282485">
                  <w:marLeft w:val="0"/>
                  <w:marRight w:val="0"/>
                  <w:marTop w:val="0"/>
                  <w:marBottom w:val="0"/>
                  <w:divBdr>
                    <w:top w:val="single" w:sz="12" w:space="0" w:color="000000"/>
                    <w:left w:val="single" w:sz="12" w:space="0" w:color="000000"/>
                    <w:bottom w:val="single" w:sz="12" w:space="0" w:color="000000"/>
                    <w:right w:val="single" w:sz="12" w:space="0" w:color="000000"/>
                  </w:divBdr>
                </w:div>
                <w:div w:id="1202862790">
                  <w:marLeft w:val="0"/>
                  <w:marRight w:val="0"/>
                  <w:marTop w:val="0"/>
                  <w:marBottom w:val="0"/>
                  <w:divBdr>
                    <w:top w:val="none" w:sz="0" w:space="0" w:color="auto"/>
                    <w:left w:val="none" w:sz="0" w:space="0" w:color="auto"/>
                    <w:bottom w:val="none" w:sz="0" w:space="0" w:color="auto"/>
                    <w:right w:val="none" w:sz="0" w:space="0" w:color="auto"/>
                  </w:divBdr>
                </w:div>
              </w:divsChild>
            </w:div>
            <w:div w:id="1518541845">
              <w:marLeft w:val="0"/>
              <w:marRight w:val="0"/>
              <w:marTop w:val="0"/>
              <w:marBottom w:val="0"/>
              <w:divBdr>
                <w:top w:val="none" w:sz="0" w:space="0" w:color="auto"/>
                <w:left w:val="none" w:sz="0" w:space="0" w:color="auto"/>
                <w:bottom w:val="none" w:sz="0" w:space="0" w:color="auto"/>
                <w:right w:val="none" w:sz="0" w:space="0" w:color="auto"/>
              </w:divBdr>
              <w:divsChild>
                <w:div w:id="1456169202">
                  <w:marLeft w:val="0"/>
                  <w:marRight w:val="0"/>
                  <w:marTop w:val="0"/>
                  <w:marBottom w:val="0"/>
                  <w:divBdr>
                    <w:top w:val="none" w:sz="0" w:space="0" w:color="auto"/>
                    <w:left w:val="none" w:sz="0" w:space="0" w:color="auto"/>
                    <w:bottom w:val="none" w:sz="0" w:space="0" w:color="auto"/>
                    <w:right w:val="none" w:sz="0" w:space="0" w:color="auto"/>
                  </w:divBdr>
                </w:div>
                <w:div w:id="51141011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32079633">
              <w:marLeft w:val="0"/>
              <w:marRight w:val="0"/>
              <w:marTop w:val="0"/>
              <w:marBottom w:val="0"/>
              <w:divBdr>
                <w:top w:val="none" w:sz="0" w:space="0" w:color="auto"/>
                <w:left w:val="none" w:sz="0" w:space="0" w:color="auto"/>
                <w:bottom w:val="none" w:sz="0" w:space="0" w:color="auto"/>
                <w:right w:val="none" w:sz="0" w:space="0" w:color="auto"/>
              </w:divBdr>
              <w:divsChild>
                <w:div w:id="1518619577">
                  <w:marLeft w:val="0"/>
                  <w:marRight w:val="0"/>
                  <w:marTop w:val="0"/>
                  <w:marBottom w:val="0"/>
                  <w:divBdr>
                    <w:top w:val="none" w:sz="0" w:space="0" w:color="auto"/>
                    <w:left w:val="none" w:sz="0" w:space="0" w:color="auto"/>
                    <w:bottom w:val="none" w:sz="0" w:space="0" w:color="auto"/>
                    <w:right w:val="none" w:sz="0" w:space="0" w:color="auto"/>
                  </w:divBdr>
                </w:div>
                <w:div w:id="2058764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69362431">
              <w:marLeft w:val="0"/>
              <w:marRight w:val="0"/>
              <w:marTop w:val="0"/>
              <w:marBottom w:val="0"/>
              <w:divBdr>
                <w:top w:val="none" w:sz="0" w:space="0" w:color="auto"/>
                <w:left w:val="none" w:sz="0" w:space="0" w:color="auto"/>
                <w:bottom w:val="none" w:sz="0" w:space="0" w:color="auto"/>
                <w:right w:val="none" w:sz="0" w:space="0" w:color="auto"/>
              </w:divBdr>
              <w:divsChild>
                <w:div w:id="570236669">
                  <w:marLeft w:val="0"/>
                  <w:marRight w:val="0"/>
                  <w:marTop w:val="0"/>
                  <w:marBottom w:val="0"/>
                  <w:divBdr>
                    <w:top w:val="none" w:sz="0" w:space="0" w:color="auto"/>
                    <w:left w:val="none" w:sz="0" w:space="0" w:color="auto"/>
                    <w:bottom w:val="none" w:sz="0" w:space="0" w:color="auto"/>
                    <w:right w:val="none" w:sz="0" w:space="0" w:color="auto"/>
                  </w:divBdr>
                </w:div>
                <w:div w:id="4466602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78101147">
              <w:marLeft w:val="0"/>
              <w:marRight w:val="0"/>
              <w:marTop w:val="0"/>
              <w:marBottom w:val="0"/>
              <w:divBdr>
                <w:top w:val="none" w:sz="0" w:space="0" w:color="auto"/>
                <w:left w:val="none" w:sz="0" w:space="0" w:color="auto"/>
                <w:bottom w:val="none" w:sz="0" w:space="0" w:color="auto"/>
                <w:right w:val="none" w:sz="0" w:space="0" w:color="auto"/>
              </w:divBdr>
              <w:divsChild>
                <w:div w:id="1808162854">
                  <w:marLeft w:val="0"/>
                  <w:marRight w:val="0"/>
                  <w:marTop w:val="0"/>
                  <w:marBottom w:val="0"/>
                  <w:divBdr>
                    <w:top w:val="none" w:sz="0" w:space="0" w:color="auto"/>
                    <w:left w:val="none" w:sz="0" w:space="0" w:color="auto"/>
                    <w:bottom w:val="none" w:sz="0" w:space="0" w:color="auto"/>
                    <w:right w:val="none" w:sz="0" w:space="0" w:color="auto"/>
                  </w:divBdr>
                </w:div>
                <w:div w:id="165302183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11462983">
              <w:marLeft w:val="0"/>
              <w:marRight w:val="0"/>
              <w:marTop w:val="0"/>
              <w:marBottom w:val="0"/>
              <w:divBdr>
                <w:top w:val="none" w:sz="0" w:space="0" w:color="auto"/>
                <w:left w:val="none" w:sz="0" w:space="0" w:color="auto"/>
                <w:bottom w:val="none" w:sz="0" w:space="0" w:color="auto"/>
                <w:right w:val="none" w:sz="0" w:space="0" w:color="auto"/>
              </w:divBdr>
              <w:divsChild>
                <w:div w:id="1643996998">
                  <w:marLeft w:val="0"/>
                  <w:marRight w:val="0"/>
                  <w:marTop w:val="0"/>
                  <w:marBottom w:val="0"/>
                  <w:divBdr>
                    <w:top w:val="none" w:sz="0" w:space="0" w:color="auto"/>
                    <w:left w:val="none" w:sz="0" w:space="0" w:color="auto"/>
                    <w:bottom w:val="none" w:sz="0" w:space="0" w:color="auto"/>
                    <w:right w:val="none" w:sz="0" w:space="0" w:color="auto"/>
                  </w:divBdr>
                </w:div>
                <w:div w:id="209173133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00807096">
              <w:marLeft w:val="0"/>
              <w:marRight w:val="0"/>
              <w:marTop w:val="0"/>
              <w:marBottom w:val="0"/>
              <w:divBdr>
                <w:top w:val="none" w:sz="0" w:space="0" w:color="auto"/>
                <w:left w:val="none" w:sz="0" w:space="0" w:color="auto"/>
                <w:bottom w:val="none" w:sz="0" w:space="0" w:color="auto"/>
                <w:right w:val="none" w:sz="0" w:space="0" w:color="auto"/>
              </w:divBdr>
              <w:divsChild>
                <w:div w:id="1805149633">
                  <w:marLeft w:val="0"/>
                  <w:marRight w:val="0"/>
                  <w:marTop w:val="0"/>
                  <w:marBottom w:val="0"/>
                  <w:divBdr>
                    <w:top w:val="none" w:sz="0" w:space="0" w:color="auto"/>
                    <w:left w:val="none" w:sz="0" w:space="0" w:color="auto"/>
                    <w:bottom w:val="none" w:sz="0" w:space="0" w:color="auto"/>
                    <w:right w:val="none" w:sz="0" w:space="0" w:color="auto"/>
                  </w:divBdr>
                </w:div>
                <w:div w:id="94018216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66498030">
              <w:marLeft w:val="0"/>
              <w:marRight w:val="0"/>
              <w:marTop w:val="0"/>
              <w:marBottom w:val="0"/>
              <w:divBdr>
                <w:top w:val="none" w:sz="0" w:space="0" w:color="auto"/>
                <w:left w:val="none" w:sz="0" w:space="0" w:color="auto"/>
                <w:bottom w:val="none" w:sz="0" w:space="0" w:color="auto"/>
                <w:right w:val="none" w:sz="0" w:space="0" w:color="auto"/>
              </w:divBdr>
              <w:divsChild>
                <w:div w:id="33627521">
                  <w:marLeft w:val="0"/>
                  <w:marRight w:val="0"/>
                  <w:marTop w:val="0"/>
                  <w:marBottom w:val="0"/>
                  <w:divBdr>
                    <w:top w:val="none" w:sz="0" w:space="0" w:color="auto"/>
                    <w:left w:val="none" w:sz="0" w:space="0" w:color="auto"/>
                    <w:bottom w:val="none" w:sz="0" w:space="0" w:color="auto"/>
                    <w:right w:val="none" w:sz="0" w:space="0" w:color="auto"/>
                  </w:divBdr>
                </w:div>
                <w:div w:id="7924027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5512612">
              <w:marLeft w:val="0"/>
              <w:marRight w:val="0"/>
              <w:marTop w:val="0"/>
              <w:marBottom w:val="0"/>
              <w:divBdr>
                <w:top w:val="none" w:sz="0" w:space="0" w:color="auto"/>
                <w:left w:val="none" w:sz="0" w:space="0" w:color="auto"/>
                <w:bottom w:val="none" w:sz="0" w:space="0" w:color="auto"/>
                <w:right w:val="none" w:sz="0" w:space="0" w:color="auto"/>
              </w:divBdr>
              <w:divsChild>
                <w:div w:id="666515966">
                  <w:marLeft w:val="0"/>
                  <w:marRight w:val="0"/>
                  <w:marTop w:val="0"/>
                  <w:marBottom w:val="0"/>
                  <w:divBdr>
                    <w:top w:val="none" w:sz="0" w:space="0" w:color="auto"/>
                    <w:left w:val="none" w:sz="0" w:space="0" w:color="auto"/>
                    <w:bottom w:val="none" w:sz="0" w:space="0" w:color="auto"/>
                    <w:right w:val="none" w:sz="0" w:space="0" w:color="auto"/>
                  </w:divBdr>
                </w:div>
                <w:div w:id="272684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37697710">
              <w:marLeft w:val="0"/>
              <w:marRight w:val="0"/>
              <w:marTop w:val="0"/>
              <w:marBottom w:val="0"/>
              <w:divBdr>
                <w:top w:val="none" w:sz="0" w:space="0" w:color="auto"/>
                <w:left w:val="none" w:sz="0" w:space="0" w:color="auto"/>
                <w:bottom w:val="none" w:sz="0" w:space="0" w:color="auto"/>
                <w:right w:val="none" w:sz="0" w:space="0" w:color="auto"/>
              </w:divBdr>
              <w:divsChild>
                <w:div w:id="876503574">
                  <w:marLeft w:val="0"/>
                  <w:marRight w:val="0"/>
                  <w:marTop w:val="0"/>
                  <w:marBottom w:val="0"/>
                  <w:divBdr>
                    <w:top w:val="none" w:sz="0" w:space="0" w:color="auto"/>
                    <w:left w:val="none" w:sz="0" w:space="0" w:color="auto"/>
                    <w:bottom w:val="none" w:sz="0" w:space="0" w:color="auto"/>
                    <w:right w:val="none" w:sz="0" w:space="0" w:color="auto"/>
                  </w:divBdr>
                </w:div>
                <w:div w:id="13837943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6493568">
              <w:marLeft w:val="0"/>
              <w:marRight w:val="0"/>
              <w:marTop w:val="0"/>
              <w:marBottom w:val="0"/>
              <w:divBdr>
                <w:top w:val="none" w:sz="0" w:space="0" w:color="auto"/>
                <w:left w:val="none" w:sz="0" w:space="0" w:color="auto"/>
                <w:bottom w:val="none" w:sz="0" w:space="0" w:color="auto"/>
                <w:right w:val="none" w:sz="0" w:space="0" w:color="auto"/>
              </w:divBdr>
              <w:divsChild>
                <w:div w:id="601956863">
                  <w:marLeft w:val="0"/>
                  <w:marRight w:val="0"/>
                  <w:marTop w:val="0"/>
                  <w:marBottom w:val="0"/>
                  <w:divBdr>
                    <w:top w:val="none" w:sz="0" w:space="0" w:color="auto"/>
                    <w:left w:val="none" w:sz="0" w:space="0" w:color="auto"/>
                    <w:bottom w:val="none" w:sz="0" w:space="0" w:color="auto"/>
                    <w:right w:val="none" w:sz="0" w:space="0" w:color="auto"/>
                  </w:divBdr>
                </w:div>
                <w:div w:id="206925737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94017101">
              <w:marLeft w:val="0"/>
              <w:marRight w:val="0"/>
              <w:marTop w:val="0"/>
              <w:marBottom w:val="0"/>
              <w:divBdr>
                <w:top w:val="none" w:sz="0" w:space="0" w:color="auto"/>
                <w:left w:val="none" w:sz="0" w:space="0" w:color="auto"/>
                <w:bottom w:val="none" w:sz="0" w:space="0" w:color="auto"/>
                <w:right w:val="none" w:sz="0" w:space="0" w:color="auto"/>
              </w:divBdr>
              <w:divsChild>
                <w:div w:id="887759657">
                  <w:marLeft w:val="0"/>
                  <w:marRight w:val="0"/>
                  <w:marTop w:val="0"/>
                  <w:marBottom w:val="0"/>
                  <w:divBdr>
                    <w:top w:val="none" w:sz="0" w:space="0" w:color="auto"/>
                    <w:left w:val="none" w:sz="0" w:space="0" w:color="auto"/>
                    <w:bottom w:val="none" w:sz="0" w:space="0" w:color="auto"/>
                    <w:right w:val="none" w:sz="0" w:space="0" w:color="auto"/>
                  </w:divBdr>
                </w:div>
                <w:div w:id="131629916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13994324">
              <w:marLeft w:val="0"/>
              <w:marRight w:val="0"/>
              <w:marTop w:val="0"/>
              <w:marBottom w:val="0"/>
              <w:divBdr>
                <w:top w:val="none" w:sz="0" w:space="0" w:color="auto"/>
                <w:left w:val="none" w:sz="0" w:space="0" w:color="auto"/>
                <w:bottom w:val="none" w:sz="0" w:space="0" w:color="auto"/>
                <w:right w:val="none" w:sz="0" w:space="0" w:color="auto"/>
              </w:divBdr>
              <w:divsChild>
                <w:div w:id="992955329">
                  <w:marLeft w:val="0"/>
                  <w:marRight w:val="0"/>
                  <w:marTop w:val="0"/>
                  <w:marBottom w:val="0"/>
                  <w:divBdr>
                    <w:top w:val="none" w:sz="0" w:space="0" w:color="auto"/>
                    <w:left w:val="none" w:sz="0" w:space="0" w:color="auto"/>
                    <w:bottom w:val="none" w:sz="0" w:space="0" w:color="auto"/>
                    <w:right w:val="none" w:sz="0" w:space="0" w:color="auto"/>
                  </w:divBdr>
                </w:div>
                <w:div w:id="8666015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63705158">
              <w:marLeft w:val="0"/>
              <w:marRight w:val="0"/>
              <w:marTop w:val="0"/>
              <w:marBottom w:val="0"/>
              <w:divBdr>
                <w:top w:val="none" w:sz="0" w:space="0" w:color="auto"/>
                <w:left w:val="none" w:sz="0" w:space="0" w:color="auto"/>
                <w:bottom w:val="none" w:sz="0" w:space="0" w:color="auto"/>
                <w:right w:val="none" w:sz="0" w:space="0" w:color="auto"/>
              </w:divBdr>
              <w:divsChild>
                <w:div w:id="810639462">
                  <w:marLeft w:val="0"/>
                  <w:marRight w:val="0"/>
                  <w:marTop w:val="0"/>
                  <w:marBottom w:val="0"/>
                  <w:divBdr>
                    <w:top w:val="none" w:sz="0" w:space="0" w:color="auto"/>
                    <w:left w:val="none" w:sz="0" w:space="0" w:color="auto"/>
                    <w:bottom w:val="none" w:sz="0" w:space="0" w:color="auto"/>
                    <w:right w:val="none" w:sz="0" w:space="0" w:color="auto"/>
                  </w:divBdr>
                </w:div>
                <w:div w:id="1553885323">
                  <w:marLeft w:val="0"/>
                  <w:marRight w:val="0"/>
                  <w:marTop w:val="0"/>
                  <w:marBottom w:val="0"/>
                  <w:divBdr>
                    <w:top w:val="single" w:sz="12" w:space="0" w:color="000000"/>
                    <w:left w:val="single" w:sz="12" w:space="0" w:color="000000"/>
                    <w:bottom w:val="single" w:sz="12" w:space="0" w:color="000000"/>
                    <w:right w:val="single" w:sz="12" w:space="0" w:color="000000"/>
                  </w:divBdr>
                </w:div>
                <w:div w:id="929891181">
                  <w:marLeft w:val="0"/>
                  <w:marRight w:val="0"/>
                  <w:marTop w:val="0"/>
                  <w:marBottom w:val="0"/>
                  <w:divBdr>
                    <w:top w:val="none" w:sz="0" w:space="0" w:color="auto"/>
                    <w:left w:val="none" w:sz="0" w:space="0" w:color="auto"/>
                    <w:bottom w:val="none" w:sz="0" w:space="0" w:color="auto"/>
                    <w:right w:val="none" w:sz="0" w:space="0" w:color="auto"/>
                  </w:divBdr>
                </w:div>
              </w:divsChild>
            </w:div>
            <w:div w:id="1041709486">
              <w:marLeft w:val="0"/>
              <w:marRight w:val="0"/>
              <w:marTop w:val="0"/>
              <w:marBottom w:val="0"/>
              <w:divBdr>
                <w:top w:val="none" w:sz="0" w:space="0" w:color="auto"/>
                <w:left w:val="none" w:sz="0" w:space="0" w:color="auto"/>
                <w:bottom w:val="none" w:sz="0" w:space="0" w:color="auto"/>
                <w:right w:val="none" w:sz="0" w:space="0" w:color="auto"/>
              </w:divBdr>
            </w:div>
            <w:div w:id="1576210066">
              <w:marLeft w:val="0"/>
              <w:marRight w:val="0"/>
              <w:marTop w:val="0"/>
              <w:marBottom w:val="0"/>
              <w:divBdr>
                <w:top w:val="none" w:sz="0" w:space="0" w:color="auto"/>
                <w:left w:val="none" w:sz="0" w:space="0" w:color="auto"/>
                <w:bottom w:val="none" w:sz="0" w:space="0" w:color="auto"/>
                <w:right w:val="none" w:sz="0" w:space="0" w:color="auto"/>
              </w:divBdr>
            </w:div>
            <w:div w:id="2017272145">
              <w:marLeft w:val="0"/>
              <w:marRight w:val="0"/>
              <w:marTop w:val="0"/>
              <w:marBottom w:val="0"/>
              <w:divBdr>
                <w:top w:val="none" w:sz="0" w:space="0" w:color="auto"/>
                <w:left w:val="none" w:sz="0" w:space="0" w:color="auto"/>
                <w:bottom w:val="none" w:sz="0" w:space="0" w:color="auto"/>
                <w:right w:val="none" w:sz="0" w:space="0" w:color="auto"/>
              </w:divBdr>
            </w:div>
            <w:div w:id="283270280">
              <w:marLeft w:val="0"/>
              <w:marRight w:val="0"/>
              <w:marTop w:val="0"/>
              <w:marBottom w:val="0"/>
              <w:divBdr>
                <w:top w:val="none" w:sz="0" w:space="0" w:color="auto"/>
                <w:left w:val="none" w:sz="0" w:space="0" w:color="auto"/>
                <w:bottom w:val="none" w:sz="0" w:space="0" w:color="auto"/>
                <w:right w:val="none" w:sz="0" w:space="0" w:color="auto"/>
              </w:divBdr>
              <w:divsChild>
                <w:div w:id="943683619">
                  <w:marLeft w:val="0"/>
                  <w:marRight w:val="0"/>
                  <w:marTop w:val="330"/>
                  <w:marBottom w:val="0"/>
                  <w:divBdr>
                    <w:top w:val="single" w:sz="6" w:space="0" w:color="000000"/>
                    <w:left w:val="none" w:sz="0" w:space="0" w:color="auto"/>
                    <w:bottom w:val="none" w:sz="0" w:space="0" w:color="auto"/>
                    <w:right w:val="none" w:sz="0" w:space="0" w:color="auto"/>
                  </w:divBdr>
                </w:div>
                <w:div w:id="148715383">
                  <w:marLeft w:val="0"/>
                  <w:marRight w:val="0"/>
                  <w:marTop w:val="330"/>
                  <w:marBottom w:val="0"/>
                  <w:divBdr>
                    <w:top w:val="single" w:sz="6" w:space="0" w:color="000000"/>
                    <w:left w:val="none" w:sz="0" w:space="0" w:color="auto"/>
                    <w:bottom w:val="none" w:sz="0" w:space="0" w:color="auto"/>
                    <w:right w:val="none" w:sz="0" w:space="0" w:color="auto"/>
                  </w:divBdr>
                </w:div>
                <w:div w:id="1836650387">
                  <w:marLeft w:val="0"/>
                  <w:marRight w:val="0"/>
                  <w:marTop w:val="330"/>
                  <w:marBottom w:val="0"/>
                  <w:divBdr>
                    <w:top w:val="single" w:sz="6" w:space="0" w:color="000000"/>
                    <w:left w:val="none" w:sz="0" w:space="0" w:color="auto"/>
                    <w:bottom w:val="none" w:sz="0" w:space="0" w:color="auto"/>
                    <w:right w:val="none" w:sz="0" w:space="0" w:color="auto"/>
                  </w:divBdr>
                </w:div>
                <w:div w:id="433598953">
                  <w:marLeft w:val="0"/>
                  <w:marRight w:val="0"/>
                  <w:marTop w:val="330"/>
                  <w:marBottom w:val="0"/>
                  <w:divBdr>
                    <w:top w:val="single" w:sz="6" w:space="0" w:color="000000"/>
                    <w:left w:val="none" w:sz="0" w:space="0" w:color="auto"/>
                    <w:bottom w:val="none" w:sz="0" w:space="0" w:color="auto"/>
                    <w:right w:val="none" w:sz="0" w:space="0" w:color="auto"/>
                  </w:divBdr>
                </w:div>
                <w:div w:id="1497039997">
                  <w:marLeft w:val="0"/>
                  <w:marRight w:val="0"/>
                  <w:marTop w:val="0"/>
                  <w:marBottom w:val="0"/>
                  <w:divBdr>
                    <w:top w:val="none" w:sz="0" w:space="0" w:color="auto"/>
                    <w:left w:val="none" w:sz="0" w:space="0" w:color="auto"/>
                    <w:bottom w:val="none" w:sz="0" w:space="0" w:color="auto"/>
                    <w:right w:val="none" w:sz="0" w:space="0" w:color="auto"/>
                  </w:divBdr>
                  <w:divsChild>
                    <w:div w:id="463550421">
                      <w:marLeft w:val="0"/>
                      <w:marRight w:val="0"/>
                      <w:marTop w:val="0"/>
                      <w:marBottom w:val="0"/>
                      <w:divBdr>
                        <w:top w:val="single" w:sz="12" w:space="0" w:color="000000"/>
                        <w:left w:val="single" w:sz="12" w:space="0" w:color="000000"/>
                        <w:bottom w:val="single" w:sz="12" w:space="0" w:color="000000"/>
                        <w:right w:val="single" w:sz="12" w:space="0" w:color="000000"/>
                      </w:divBdr>
                    </w:div>
                    <w:div w:id="1912883778">
                      <w:marLeft w:val="0"/>
                      <w:marRight w:val="0"/>
                      <w:marTop w:val="0"/>
                      <w:marBottom w:val="0"/>
                      <w:divBdr>
                        <w:top w:val="none" w:sz="0" w:space="0" w:color="auto"/>
                        <w:left w:val="none" w:sz="0" w:space="0" w:color="auto"/>
                        <w:bottom w:val="none" w:sz="0" w:space="0" w:color="auto"/>
                        <w:right w:val="none" w:sz="0" w:space="0" w:color="auto"/>
                      </w:divBdr>
                    </w:div>
                  </w:divsChild>
                </w:div>
                <w:div w:id="1220172320">
                  <w:marLeft w:val="0"/>
                  <w:marRight w:val="0"/>
                  <w:marTop w:val="330"/>
                  <w:marBottom w:val="0"/>
                  <w:divBdr>
                    <w:top w:val="single" w:sz="6" w:space="0" w:color="000000"/>
                    <w:left w:val="none" w:sz="0" w:space="0" w:color="auto"/>
                    <w:bottom w:val="none" w:sz="0" w:space="0" w:color="auto"/>
                    <w:right w:val="none" w:sz="0" w:space="0" w:color="auto"/>
                  </w:divBdr>
                </w:div>
                <w:div w:id="547573037">
                  <w:marLeft w:val="0"/>
                  <w:marRight w:val="0"/>
                  <w:marTop w:val="330"/>
                  <w:marBottom w:val="0"/>
                  <w:divBdr>
                    <w:top w:val="single" w:sz="6" w:space="0" w:color="000000"/>
                    <w:left w:val="none" w:sz="0" w:space="0" w:color="auto"/>
                    <w:bottom w:val="none" w:sz="0" w:space="0" w:color="auto"/>
                    <w:right w:val="none" w:sz="0" w:space="0" w:color="auto"/>
                  </w:divBdr>
                </w:div>
                <w:div w:id="1301152511">
                  <w:marLeft w:val="0"/>
                  <w:marRight w:val="0"/>
                  <w:marTop w:val="330"/>
                  <w:marBottom w:val="0"/>
                  <w:divBdr>
                    <w:top w:val="single" w:sz="6" w:space="0" w:color="000000"/>
                    <w:left w:val="none" w:sz="0" w:space="0" w:color="auto"/>
                    <w:bottom w:val="none" w:sz="0" w:space="0" w:color="auto"/>
                    <w:right w:val="none" w:sz="0" w:space="0" w:color="auto"/>
                  </w:divBdr>
                </w:div>
                <w:div w:id="1909922441">
                  <w:marLeft w:val="0"/>
                  <w:marRight w:val="0"/>
                  <w:marTop w:val="330"/>
                  <w:marBottom w:val="0"/>
                  <w:divBdr>
                    <w:top w:val="single" w:sz="6" w:space="0" w:color="000000"/>
                    <w:left w:val="none" w:sz="0" w:space="0" w:color="auto"/>
                    <w:bottom w:val="none" w:sz="0" w:space="0" w:color="auto"/>
                    <w:right w:val="none" w:sz="0" w:space="0" w:color="auto"/>
                  </w:divBdr>
                </w:div>
              </w:divsChild>
            </w:div>
            <w:div w:id="1620065443">
              <w:marLeft w:val="0"/>
              <w:marRight w:val="0"/>
              <w:marTop w:val="0"/>
              <w:marBottom w:val="0"/>
              <w:divBdr>
                <w:top w:val="none" w:sz="0" w:space="0" w:color="auto"/>
                <w:left w:val="none" w:sz="0" w:space="0" w:color="auto"/>
                <w:bottom w:val="none" w:sz="0" w:space="0" w:color="auto"/>
                <w:right w:val="none" w:sz="0" w:space="0" w:color="auto"/>
              </w:divBdr>
            </w:div>
            <w:div w:id="1293055879">
              <w:marLeft w:val="0"/>
              <w:marRight w:val="0"/>
              <w:marTop w:val="0"/>
              <w:marBottom w:val="0"/>
              <w:divBdr>
                <w:top w:val="none" w:sz="0" w:space="0" w:color="auto"/>
                <w:left w:val="none" w:sz="0" w:space="0" w:color="auto"/>
                <w:bottom w:val="none" w:sz="0" w:space="0" w:color="auto"/>
                <w:right w:val="none" w:sz="0" w:space="0" w:color="auto"/>
              </w:divBdr>
            </w:div>
            <w:div w:id="572817057">
              <w:marLeft w:val="0"/>
              <w:marRight w:val="0"/>
              <w:marTop w:val="0"/>
              <w:marBottom w:val="0"/>
              <w:divBdr>
                <w:top w:val="none" w:sz="0" w:space="0" w:color="auto"/>
                <w:left w:val="none" w:sz="0" w:space="0" w:color="auto"/>
                <w:bottom w:val="none" w:sz="0" w:space="0" w:color="auto"/>
                <w:right w:val="none" w:sz="0" w:space="0" w:color="auto"/>
              </w:divBdr>
            </w:div>
            <w:div w:id="172186456">
              <w:marLeft w:val="0"/>
              <w:marRight w:val="0"/>
              <w:marTop w:val="0"/>
              <w:marBottom w:val="0"/>
              <w:divBdr>
                <w:top w:val="none" w:sz="0" w:space="0" w:color="auto"/>
                <w:left w:val="none" w:sz="0" w:space="0" w:color="auto"/>
                <w:bottom w:val="none" w:sz="0" w:space="0" w:color="auto"/>
                <w:right w:val="none" w:sz="0" w:space="0" w:color="auto"/>
              </w:divBdr>
            </w:div>
            <w:div w:id="1634558766">
              <w:marLeft w:val="0"/>
              <w:marRight w:val="0"/>
              <w:marTop w:val="0"/>
              <w:marBottom w:val="0"/>
              <w:divBdr>
                <w:top w:val="none" w:sz="0" w:space="0" w:color="auto"/>
                <w:left w:val="none" w:sz="0" w:space="0" w:color="auto"/>
                <w:bottom w:val="none" w:sz="0" w:space="0" w:color="auto"/>
                <w:right w:val="none" w:sz="0" w:space="0" w:color="auto"/>
              </w:divBdr>
            </w:div>
            <w:div w:id="1890990894">
              <w:marLeft w:val="0"/>
              <w:marRight w:val="0"/>
              <w:marTop w:val="0"/>
              <w:marBottom w:val="0"/>
              <w:divBdr>
                <w:top w:val="none" w:sz="0" w:space="0" w:color="auto"/>
                <w:left w:val="none" w:sz="0" w:space="0" w:color="auto"/>
                <w:bottom w:val="none" w:sz="0" w:space="0" w:color="auto"/>
                <w:right w:val="none" w:sz="0" w:space="0" w:color="auto"/>
              </w:divBdr>
            </w:div>
            <w:div w:id="1964070955">
              <w:marLeft w:val="0"/>
              <w:marRight w:val="0"/>
              <w:marTop w:val="0"/>
              <w:marBottom w:val="0"/>
              <w:divBdr>
                <w:top w:val="none" w:sz="0" w:space="0" w:color="auto"/>
                <w:left w:val="none" w:sz="0" w:space="0" w:color="auto"/>
                <w:bottom w:val="none" w:sz="0" w:space="0" w:color="auto"/>
                <w:right w:val="none" w:sz="0" w:space="0" w:color="auto"/>
              </w:divBdr>
            </w:div>
            <w:div w:id="206794991">
              <w:marLeft w:val="0"/>
              <w:marRight w:val="0"/>
              <w:marTop w:val="0"/>
              <w:marBottom w:val="0"/>
              <w:divBdr>
                <w:top w:val="none" w:sz="0" w:space="0" w:color="auto"/>
                <w:left w:val="none" w:sz="0" w:space="0" w:color="auto"/>
                <w:bottom w:val="none" w:sz="0" w:space="0" w:color="auto"/>
                <w:right w:val="none" w:sz="0" w:space="0" w:color="auto"/>
              </w:divBdr>
            </w:div>
            <w:div w:id="435639586">
              <w:marLeft w:val="0"/>
              <w:marRight w:val="0"/>
              <w:marTop w:val="0"/>
              <w:marBottom w:val="0"/>
              <w:divBdr>
                <w:top w:val="none" w:sz="0" w:space="0" w:color="auto"/>
                <w:left w:val="none" w:sz="0" w:space="0" w:color="auto"/>
                <w:bottom w:val="none" w:sz="0" w:space="0" w:color="auto"/>
                <w:right w:val="none" w:sz="0" w:space="0" w:color="auto"/>
              </w:divBdr>
            </w:div>
            <w:div w:id="762839700">
              <w:marLeft w:val="0"/>
              <w:marRight w:val="0"/>
              <w:marTop w:val="0"/>
              <w:marBottom w:val="0"/>
              <w:divBdr>
                <w:top w:val="none" w:sz="0" w:space="0" w:color="auto"/>
                <w:left w:val="none" w:sz="0" w:space="0" w:color="auto"/>
                <w:bottom w:val="none" w:sz="0" w:space="0" w:color="auto"/>
                <w:right w:val="none" w:sz="0" w:space="0" w:color="auto"/>
              </w:divBdr>
              <w:divsChild>
                <w:div w:id="261453459">
                  <w:marLeft w:val="0"/>
                  <w:marRight w:val="0"/>
                  <w:marTop w:val="0"/>
                  <w:marBottom w:val="0"/>
                  <w:divBdr>
                    <w:top w:val="none" w:sz="0" w:space="0" w:color="auto"/>
                    <w:left w:val="none" w:sz="0" w:space="0" w:color="auto"/>
                    <w:bottom w:val="none" w:sz="0" w:space="0" w:color="auto"/>
                    <w:right w:val="none" w:sz="0" w:space="0" w:color="auto"/>
                  </w:divBdr>
                </w:div>
                <w:div w:id="1976058154">
                  <w:marLeft w:val="0"/>
                  <w:marRight w:val="0"/>
                  <w:marTop w:val="0"/>
                  <w:marBottom w:val="0"/>
                  <w:divBdr>
                    <w:top w:val="single" w:sz="12" w:space="0" w:color="000000"/>
                    <w:left w:val="single" w:sz="12" w:space="0" w:color="000000"/>
                    <w:bottom w:val="single" w:sz="12" w:space="0" w:color="000000"/>
                    <w:right w:val="single" w:sz="12" w:space="0" w:color="000000"/>
                  </w:divBdr>
                </w:div>
                <w:div w:id="267591263">
                  <w:marLeft w:val="0"/>
                  <w:marRight w:val="0"/>
                  <w:marTop w:val="0"/>
                  <w:marBottom w:val="0"/>
                  <w:divBdr>
                    <w:top w:val="none" w:sz="0" w:space="0" w:color="auto"/>
                    <w:left w:val="none" w:sz="0" w:space="0" w:color="auto"/>
                    <w:bottom w:val="none" w:sz="0" w:space="0" w:color="auto"/>
                    <w:right w:val="none" w:sz="0" w:space="0" w:color="auto"/>
                  </w:divBdr>
                </w:div>
              </w:divsChild>
            </w:div>
            <w:div w:id="1944804579">
              <w:marLeft w:val="0"/>
              <w:marRight w:val="0"/>
              <w:marTop w:val="0"/>
              <w:marBottom w:val="0"/>
              <w:divBdr>
                <w:top w:val="none" w:sz="0" w:space="0" w:color="auto"/>
                <w:left w:val="none" w:sz="0" w:space="0" w:color="auto"/>
                <w:bottom w:val="none" w:sz="0" w:space="0" w:color="auto"/>
                <w:right w:val="none" w:sz="0" w:space="0" w:color="auto"/>
              </w:divBdr>
            </w:div>
            <w:div w:id="208490836">
              <w:marLeft w:val="0"/>
              <w:marRight w:val="0"/>
              <w:marTop w:val="0"/>
              <w:marBottom w:val="0"/>
              <w:divBdr>
                <w:top w:val="none" w:sz="0" w:space="0" w:color="auto"/>
                <w:left w:val="none" w:sz="0" w:space="0" w:color="auto"/>
                <w:bottom w:val="none" w:sz="0" w:space="0" w:color="auto"/>
                <w:right w:val="none" w:sz="0" w:space="0" w:color="auto"/>
              </w:divBdr>
            </w:div>
            <w:div w:id="509871898">
              <w:marLeft w:val="0"/>
              <w:marRight w:val="0"/>
              <w:marTop w:val="0"/>
              <w:marBottom w:val="0"/>
              <w:divBdr>
                <w:top w:val="none" w:sz="0" w:space="0" w:color="auto"/>
                <w:left w:val="none" w:sz="0" w:space="0" w:color="auto"/>
                <w:bottom w:val="none" w:sz="0" w:space="0" w:color="auto"/>
                <w:right w:val="none" w:sz="0" w:space="0" w:color="auto"/>
              </w:divBdr>
            </w:div>
            <w:div w:id="1918906238">
              <w:marLeft w:val="0"/>
              <w:marRight w:val="0"/>
              <w:marTop w:val="0"/>
              <w:marBottom w:val="0"/>
              <w:divBdr>
                <w:top w:val="none" w:sz="0" w:space="0" w:color="auto"/>
                <w:left w:val="none" w:sz="0" w:space="0" w:color="auto"/>
                <w:bottom w:val="none" w:sz="0" w:space="0" w:color="auto"/>
                <w:right w:val="none" w:sz="0" w:space="0" w:color="auto"/>
              </w:divBdr>
            </w:div>
            <w:div w:id="2103332426">
              <w:marLeft w:val="0"/>
              <w:marRight w:val="0"/>
              <w:marTop w:val="0"/>
              <w:marBottom w:val="0"/>
              <w:divBdr>
                <w:top w:val="none" w:sz="0" w:space="0" w:color="auto"/>
                <w:left w:val="none" w:sz="0" w:space="0" w:color="auto"/>
                <w:bottom w:val="none" w:sz="0" w:space="0" w:color="auto"/>
                <w:right w:val="none" w:sz="0" w:space="0" w:color="auto"/>
              </w:divBdr>
            </w:div>
            <w:div w:id="517356409">
              <w:marLeft w:val="0"/>
              <w:marRight w:val="0"/>
              <w:marTop w:val="0"/>
              <w:marBottom w:val="0"/>
              <w:divBdr>
                <w:top w:val="none" w:sz="0" w:space="0" w:color="auto"/>
                <w:left w:val="none" w:sz="0" w:space="0" w:color="auto"/>
                <w:bottom w:val="none" w:sz="0" w:space="0" w:color="auto"/>
                <w:right w:val="none" w:sz="0" w:space="0" w:color="auto"/>
              </w:divBdr>
            </w:div>
            <w:div w:id="591665762">
              <w:marLeft w:val="0"/>
              <w:marRight w:val="0"/>
              <w:marTop w:val="0"/>
              <w:marBottom w:val="0"/>
              <w:divBdr>
                <w:top w:val="none" w:sz="0" w:space="0" w:color="auto"/>
                <w:left w:val="none" w:sz="0" w:space="0" w:color="auto"/>
                <w:bottom w:val="none" w:sz="0" w:space="0" w:color="auto"/>
                <w:right w:val="none" w:sz="0" w:space="0" w:color="auto"/>
              </w:divBdr>
            </w:div>
            <w:div w:id="745568641">
              <w:marLeft w:val="0"/>
              <w:marRight w:val="0"/>
              <w:marTop w:val="0"/>
              <w:marBottom w:val="0"/>
              <w:divBdr>
                <w:top w:val="none" w:sz="0" w:space="0" w:color="auto"/>
                <w:left w:val="none" w:sz="0" w:space="0" w:color="auto"/>
                <w:bottom w:val="none" w:sz="0" w:space="0" w:color="auto"/>
                <w:right w:val="none" w:sz="0" w:space="0" w:color="auto"/>
              </w:divBdr>
            </w:div>
            <w:div w:id="1731732159">
              <w:marLeft w:val="0"/>
              <w:marRight w:val="0"/>
              <w:marTop w:val="0"/>
              <w:marBottom w:val="0"/>
              <w:divBdr>
                <w:top w:val="none" w:sz="0" w:space="0" w:color="auto"/>
                <w:left w:val="none" w:sz="0" w:space="0" w:color="auto"/>
                <w:bottom w:val="none" w:sz="0" w:space="0" w:color="auto"/>
                <w:right w:val="none" w:sz="0" w:space="0" w:color="auto"/>
              </w:divBdr>
            </w:div>
            <w:div w:id="1452095605">
              <w:marLeft w:val="0"/>
              <w:marRight w:val="0"/>
              <w:marTop w:val="0"/>
              <w:marBottom w:val="0"/>
              <w:divBdr>
                <w:top w:val="none" w:sz="0" w:space="0" w:color="auto"/>
                <w:left w:val="none" w:sz="0" w:space="0" w:color="auto"/>
                <w:bottom w:val="none" w:sz="0" w:space="0" w:color="auto"/>
                <w:right w:val="none" w:sz="0" w:space="0" w:color="auto"/>
              </w:divBdr>
              <w:divsChild>
                <w:div w:id="1658611828">
                  <w:marLeft w:val="0"/>
                  <w:marRight w:val="0"/>
                  <w:marTop w:val="0"/>
                  <w:marBottom w:val="0"/>
                  <w:divBdr>
                    <w:top w:val="single" w:sz="12" w:space="0" w:color="000000"/>
                    <w:left w:val="single" w:sz="12" w:space="0" w:color="000000"/>
                    <w:bottom w:val="single" w:sz="12" w:space="0" w:color="000000"/>
                    <w:right w:val="single" w:sz="12" w:space="0" w:color="000000"/>
                  </w:divBdr>
                </w:div>
                <w:div w:id="135260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ecfr.gov/cgi-bin/text-idx?SID=48dadd919f5db7ca72978b8078cdaec0&amp;node=40:7.0.1.1.1.1&amp;rgn=div6#_top"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ecfr.gov/graphics/pdfs/ec01jn92.008.pdf" TargetMode="External"/><Relationship Id="rId12" Type="http://schemas.openxmlformats.org/officeDocument/2006/relationships/hyperlink" Target="http://www.ecfr.gov/cgi-bin/text-idx?SID=48dadd919f5db7ca72978b8078cdaec0&amp;node=40:7.0.1.1.1.1&amp;rgn=div6"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ecfr.gov/graphics/pdfs/er22de08.007.pdf"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3.gif"/><Relationship Id="rId4" Type="http://schemas.openxmlformats.org/officeDocument/2006/relationships/footnotes" Target="footnotes.xml"/><Relationship Id="rId9" Type="http://schemas.openxmlformats.org/officeDocument/2006/relationships/hyperlink" Target="http://www.ecfr.gov/graphics/pdfs/ec01jn92.009.pdf" TargetMode="External"/><Relationship Id="rId14"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53</Pages>
  <Words>24206</Words>
  <Characters>137978</Characters>
  <Application>Microsoft Office Word</Application>
  <DocSecurity>0</DocSecurity>
  <Lines>1149</Lines>
  <Paragraphs>323</Paragraphs>
  <ScaleCrop>false</ScaleCrop>
  <Company/>
  <LinksUpToDate>false</LinksUpToDate>
  <CharactersWithSpaces>161861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Stubbs, Danny</dc:creator>
  <cp:keywords/>
  <dc:description/>
  <cp:lastModifiedBy>Stubbs, Danny</cp:lastModifiedBy>
  <cp:revision>10</cp:revision>
  <dcterms:created xsi:type="dcterms:W3CDTF">2014-07-03T12:00:00Z</dcterms:created>
  <dcterms:modified xsi:type="dcterms:W3CDTF">2014-07-03T13:18:00Z</dcterms:modified>
</cp:coreProperties>
</file>